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6DB6" w:rsidRPr="00B539F5" w:rsidRDefault="00B539F5" w:rsidP="00222A36">
      <w:pPr>
        <w:pStyle w:val="Headline-1"/>
        <w:rPr>
          <w:lang w:val="en-US"/>
        </w:rPr>
      </w:pPr>
      <w:r w:rsidRPr="00B539F5">
        <w:rPr>
          <w:lang w:val="en-US"/>
        </w:rPr>
        <w:t>Social-Economic-Political-Emotional (SEPE) factors regulate human growth</w:t>
      </w:r>
    </w:p>
    <w:p w:rsidR="00F57C85" w:rsidRPr="00B539F5" w:rsidRDefault="00B539F5" w:rsidP="00174B5A">
      <w:pPr>
        <w:pStyle w:val="authors"/>
        <w:rPr>
          <w:b w:val="0"/>
          <w:lang w:val="en-US"/>
        </w:rPr>
      </w:pPr>
      <w:proofErr w:type="spellStart"/>
      <w:r w:rsidRPr="00B539F5">
        <w:rPr>
          <w:rStyle w:val="surname"/>
          <w:lang w:val="en-US"/>
        </w:rPr>
        <w:t>Bogin</w:t>
      </w:r>
      <w:proofErr w:type="spellEnd"/>
      <w:r w:rsidR="001F30FC" w:rsidRPr="00B539F5">
        <w:rPr>
          <w:rStyle w:val="surname"/>
          <w:lang w:val="en-US"/>
        </w:rPr>
        <w:t>,</w:t>
      </w:r>
      <w:r w:rsidR="00F7263D" w:rsidRPr="00B539F5">
        <w:rPr>
          <w:lang w:val="en-US"/>
        </w:rPr>
        <w:t xml:space="preserve"> </w:t>
      </w:r>
      <w:r w:rsidRPr="00B539F5">
        <w:rPr>
          <w:rStyle w:val="given-names"/>
          <w:lang w:val="en-US"/>
        </w:rPr>
        <w:t>Barry</w:t>
      </w:r>
      <w:r>
        <w:rPr>
          <w:rStyle w:val="aff"/>
          <w:lang w:val="en-US"/>
        </w:rPr>
        <w:t>*</w:t>
      </w:r>
    </w:p>
    <w:p w:rsidR="002473CC" w:rsidRDefault="00B539F5" w:rsidP="00F7263D">
      <w:pPr>
        <w:pStyle w:val="affiliation"/>
      </w:pPr>
      <w:r>
        <w:t>*</w:t>
      </w:r>
      <w:r w:rsidR="00DD1BA2" w:rsidRPr="00174B5A">
        <w:t xml:space="preserve"> </w:t>
      </w:r>
      <w:r w:rsidRPr="00B539F5">
        <w:t xml:space="preserve">University of California San Diego / Salk Center for Academic Research and Training in </w:t>
      </w:r>
      <w:proofErr w:type="spellStart"/>
      <w:r w:rsidRPr="00B539F5">
        <w:t>Anthropogeny</w:t>
      </w:r>
      <w:proofErr w:type="spellEnd"/>
      <w:r w:rsidRPr="00B539F5">
        <w:t xml:space="preserve"> (carta.anthropogeny.org), School of Sport, Exercise &amp; Health Sciences, Loughborough University, UK</w:t>
      </w:r>
    </w:p>
    <w:p w:rsidR="002C009A" w:rsidRPr="00B539F5" w:rsidRDefault="007219F4" w:rsidP="002C009A">
      <w:pPr>
        <w:pStyle w:val="Headline-2"/>
        <w:rPr>
          <w:lang w:val="en-US"/>
        </w:rPr>
      </w:pPr>
      <w:r w:rsidRPr="00B539F5">
        <w:rPr>
          <w:lang w:val="en-US"/>
        </w:rPr>
        <w:t>Abstract</w:t>
      </w:r>
    </w:p>
    <w:p w:rsidR="00B539F5" w:rsidRPr="00B539F5" w:rsidRDefault="00B539F5" w:rsidP="00B539F5">
      <w:pPr>
        <w:rPr>
          <w:lang w:val="en-US"/>
        </w:rPr>
      </w:pPr>
      <w:r w:rsidRPr="00B539F5">
        <w:rPr>
          <w:b/>
          <w:lang w:val="en-US"/>
        </w:rPr>
        <w:t>Background:</w:t>
      </w:r>
      <w:r w:rsidRPr="00B539F5">
        <w:rPr>
          <w:lang w:val="en-US"/>
        </w:rPr>
        <w:t xml:space="preserve"> There is a recurring and seamless interaction between the biology of human development and the social-economic-political-emotional (SEPE) environment. The SEPE environment influences the quality of the material conditions for human biology and, simultaneously, human growth in height and other dimensions provide social and moral signals that provide information to community networks. </w:t>
      </w:r>
    </w:p>
    <w:p w:rsidR="00B539F5" w:rsidRPr="00B539F5" w:rsidRDefault="00B539F5" w:rsidP="00B539F5">
      <w:pPr>
        <w:rPr>
          <w:lang w:val="en-US"/>
        </w:rPr>
      </w:pPr>
      <w:r w:rsidRPr="00B539F5">
        <w:rPr>
          <w:b/>
          <w:lang w:val="en-US"/>
        </w:rPr>
        <w:t>Objectives:</w:t>
      </w:r>
      <w:r w:rsidRPr="00B539F5">
        <w:rPr>
          <w:lang w:val="en-US"/>
        </w:rPr>
        <w:t xml:space="preserve"> This article reviews the role of SEPE factors in human growth, especially skeletal growth. </w:t>
      </w:r>
    </w:p>
    <w:p w:rsidR="00B539F5" w:rsidRPr="00B539F5" w:rsidRDefault="00B539F5" w:rsidP="00B539F5">
      <w:pPr>
        <w:rPr>
          <w:lang w:val="en-US"/>
        </w:rPr>
      </w:pPr>
      <w:r w:rsidRPr="00B539F5">
        <w:rPr>
          <w:lang w:val="en-US"/>
        </w:rPr>
        <w:t>Sample and Methods: The meaning of SEPE is defined and shown to be related to individual and group prestige, to social identity, and to ego and task motivation. These influence dominance or subordination of communities and the material and moral conditions of societies. Historical and contemporary examples of SEPE effects on skeletal size are presented.</w:t>
      </w:r>
    </w:p>
    <w:p w:rsidR="00B539F5" w:rsidRPr="00B539F5" w:rsidRDefault="00B539F5" w:rsidP="00B539F5">
      <w:pPr>
        <w:rPr>
          <w:lang w:val="en-US"/>
        </w:rPr>
      </w:pPr>
      <w:r w:rsidRPr="00B539F5">
        <w:rPr>
          <w:b/>
          <w:lang w:val="en-US"/>
        </w:rPr>
        <w:t>Results:</w:t>
      </w:r>
      <w:r w:rsidRPr="00B539F5">
        <w:rPr>
          <w:lang w:val="en-US"/>
        </w:rPr>
        <w:t xml:space="preserve"> Membership in a SEPE community impacts skeletal size in height and breadth. Higher SEPE classes are taller, lower SEPE classes are broader. In elite level sport the winners have more growth stimulation hormone IGF-1 even before the contest. These findings are explained in terms of dominance versus subordination and the Community Effect in Height hypothesis. </w:t>
      </w:r>
    </w:p>
    <w:p w:rsidR="002C009A" w:rsidRPr="00B539F5" w:rsidRDefault="00B539F5" w:rsidP="00B539F5">
      <w:pPr>
        <w:rPr>
          <w:lang w:val="en-US"/>
        </w:rPr>
      </w:pPr>
      <w:r w:rsidRPr="00B539F5">
        <w:rPr>
          <w:b/>
          <w:lang w:val="en-US"/>
        </w:rPr>
        <w:t>Conclusions:</w:t>
      </w:r>
      <w:r w:rsidRPr="00B539F5">
        <w:rPr>
          <w:lang w:val="en-US"/>
        </w:rPr>
        <w:t xml:space="preserve"> SEPE factor regulation of human growth is shown to be a more comprehensive explanation for plasticity in height than traditional concepts such as socioeconomic status and simple-minded genetic determinism. People belonging to upper SEPE class communities, the elites, know that they are superior and are treated as such by the non-elites. The material and moral condition for life operating through these community social networks provide positive stimulation for the elites and negative stimulation for the lower SEPE classes. These differences maintain the gradients in height between SEPE communities in human societies.</w:t>
      </w:r>
    </w:p>
    <w:p w:rsidR="004A6409" w:rsidRDefault="007219F4" w:rsidP="007219F4">
      <w:pPr>
        <w:pStyle w:val="Headline-2"/>
        <w:rPr>
          <w:lang w:val="en-US"/>
        </w:rPr>
      </w:pPr>
      <w:proofErr w:type="spellStart"/>
      <w:r w:rsidRPr="00B539F5">
        <w:rPr>
          <w:lang w:val="en-US"/>
        </w:rPr>
        <w:t>Orcid</w:t>
      </w:r>
      <w:proofErr w:type="spellEnd"/>
      <w:r w:rsidRPr="00B539F5">
        <w:rPr>
          <w:lang w:val="en-US"/>
        </w:rPr>
        <w:t xml:space="preserve"> numbers</w:t>
      </w:r>
    </w:p>
    <w:p w:rsidR="00F243C0" w:rsidRPr="00B539F5" w:rsidRDefault="00F243C0" w:rsidP="00F243C0">
      <w:pPr>
        <w:rPr>
          <w:lang w:val="en-US"/>
        </w:rPr>
      </w:pPr>
      <w:proofErr w:type="spellStart"/>
      <w:r w:rsidRPr="00F243C0">
        <w:rPr>
          <w:lang w:val="en-US"/>
        </w:rPr>
        <w:t>Bogin</w:t>
      </w:r>
      <w:proofErr w:type="spellEnd"/>
      <w:r w:rsidRPr="00F243C0">
        <w:rPr>
          <w:lang w:val="en-US"/>
        </w:rPr>
        <w:t xml:space="preserve"> Barry</w:t>
      </w:r>
      <w:r w:rsidRPr="00F243C0">
        <w:rPr>
          <w:lang w:val="en-US"/>
        </w:rPr>
        <w:tab/>
      </w:r>
      <w:bookmarkStart w:id="0" w:name="_GoBack"/>
      <w:bookmarkEnd w:id="0"/>
      <w:r w:rsidRPr="00F243C0">
        <w:rPr>
          <w:lang w:val="en-US"/>
        </w:rPr>
        <w:t>0000-0002-1688-0087</w:t>
      </w:r>
    </w:p>
    <w:p w:rsidR="004A6409" w:rsidRPr="00B539F5" w:rsidRDefault="002C009A" w:rsidP="007219F4">
      <w:pPr>
        <w:pStyle w:val="Headline-2"/>
        <w:rPr>
          <w:lang w:val="en-US"/>
        </w:rPr>
      </w:pPr>
      <w:r w:rsidRPr="00B539F5">
        <w:rPr>
          <w:lang w:val="en-US"/>
        </w:rPr>
        <w:t>Key</w:t>
      </w:r>
      <w:r w:rsidR="005C1975" w:rsidRPr="00B539F5">
        <w:rPr>
          <w:lang w:val="en-US"/>
        </w:rPr>
        <w:t xml:space="preserve"> </w:t>
      </w:r>
      <w:r w:rsidRPr="00B539F5">
        <w:rPr>
          <w:lang w:val="en-US"/>
        </w:rPr>
        <w:t>words</w:t>
      </w:r>
    </w:p>
    <w:p w:rsidR="00F57C85" w:rsidRDefault="00B539F5" w:rsidP="005C1975">
      <w:pPr>
        <w:rPr>
          <w:lang w:val="en-US"/>
        </w:rPr>
      </w:pPr>
      <w:r w:rsidRPr="00B539F5">
        <w:rPr>
          <w:lang w:val="en-US"/>
        </w:rPr>
        <w:t>prestige, dominance-subordination, social identity, ego motivation, material and moral conditions, community effects</w:t>
      </w:r>
    </w:p>
    <w:p w:rsidR="00B539F5" w:rsidRDefault="00B539F5" w:rsidP="005C1975">
      <w:pPr>
        <w:rPr>
          <w:lang w:val="en-US"/>
        </w:rPr>
      </w:pPr>
    </w:p>
    <w:p w:rsidR="00B539F5" w:rsidRPr="00B539F5" w:rsidRDefault="00B539F5" w:rsidP="00B539F5">
      <w:pPr>
        <w:rPr>
          <w:lang w:val="en-US"/>
        </w:rPr>
      </w:pPr>
      <w:r w:rsidRPr="00B539F5">
        <w:rPr>
          <w:lang w:val="en-US"/>
        </w:rPr>
        <w:t xml:space="preserve">Take home message for students: The basic pattern and stages of human growth are shared by all living people and is the outcome of the evolutionary history and biocultural nature of our species. Social-economic-political-emotional (SEPE) factors are created by every human culture and these factors create material and moral conditions that impact human growth. </w:t>
      </w:r>
    </w:p>
    <w:p w:rsidR="00B539F5" w:rsidRPr="00B539F5" w:rsidRDefault="00B539F5" w:rsidP="00B539F5">
      <w:pPr>
        <w:rPr>
          <w:lang w:val="en-US"/>
        </w:rPr>
      </w:pPr>
      <w:r w:rsidRPr="00B539F5">
        <w:rPr>
          <w:lang w:val="en-US"/>
        </w:rPr>
        <w:t>Conflict of Interest: None</w:t>
      </w:r>
    </w:p>
    <w:p w:rsidR="007219F4" w:rsidRPr="00B539F5" w:rsidRDefault="007219F4" w:rsidP="006A508A">
      <w:pPr>
        <w:pStyle w:val="ArticleBodyStart"/>
        <w:rPr>
          <w:lang w:val="en-US"/>
        </w:rPr>
      </w:pPr>
    </w:p>
    <w:p w:rsidR="003120F4" w:rsidRPr="00B539F5" w:rsidRDefault="00B539F5" w:rsidP="00210E48">
      <w:pPr>
        <w:pStyle w:val="Headline-2"/>
        <w:rPr>
          <w:lang w:val="en-US"/>
        </w:rPr>
      </w:pPr>
      <w:r w:rsidRPr="00B539F5">
        <w:rPr>
          <w:lang w:val="en-US"/>
        </w:rPr>
        <w:t>Introduction</w:t>
      </w:r>
    </w:p>
    <w:p w:rsidR="003523D1" w:rsidRPr="003523D1" w:rsidRDefault="003523D1" w:rsidP="003523D1">
      <w:pPr>
        <w:rPr>
          <w:lang w:val="en-US" w:eastAsia="en-US"/>
        </w:rPr>
      </w:pPr>
      <w:r w:rsidRPr="003523D1">
        <w:rPr>
          <w:lang w:val="en-US" w:eastAsia="en-US"/>
        </w:rPr>
        <w:t xml:space="preserve">The basic pattern and stages of human growth are shared by all living people (Figure 1). This pattern is the outcome of the four-to-seven million-year evolutionary history of the hominins -- living human beings and our bipedal fossil ancestors. The way each human being grows within the basic pattern is the product of an interaction between the biology of our species, the material-physical environment in which a person and his recent </w:t>
      </w:r>
      <w:proofErr w:type="gramStart"/>
      <w:r w:rsidRPr="003523D1">
        <w:rPr>
          <w:lang w:val="en-US" w:eastAsia="en-US"/>
        </w:rPr>
        <w:t>ancestors</w:t>
      </w:r>
      <w:proofErr w:type="gramEnd"/>
      <w:r w:rsidRPr="003523D1">
        <w:rPr>
          <w:lang w:val="en-US" w:eastAsia="en-US"/>
        </w:rPr>
        <w:t xml:space="preserve"> lives, and the social-economic-political-emotional (SEPE) factors that every human culture creates. Thus, human growth and development reflect the evolutionary history and biocultural nature of our species </w:t>
      </w:r>
      <w:r w:rsidRPr="003523D1">
        <w:rPr>
          <w:lang w:val="en-US" w:eastAsia="en-US"/>
        </w:rPr>
        <w:fldChar w:fldCharType="begin" w:fldLock="1"/>
      </w:r>
      <w:r w:rsidRPr="003523D1">
        <w:rPr>
          <w:lang w:val="en-US" w:eastAsia="en-US"/>
        </w:rPr>
        <w:instrText>ADDIN CSL_CITATION {"citationItems":[{"id":"ITEM-1","itemData":{"DOI":"10.1017/9781108379977","ISBN":"978110843448","author":[{"dropping-particle":"","family":"Bogin","given":"Barry","non-dropping-particle":"","parse-names":false,"suffix":""}],"edition":"3rd","id":"ITEM-1","issued":{"date-parts":[["2021"]]},"publisher":"Cambridge University Press","publisher-place":"Cambridge","title":"Patterns of Human Growth","type":"book"},"uris":["http://www.mendeley.com/documents/?uuid=0a23caab-8cb3-4ccc-a1b4-59d329f2575f"]}],"mendeley":{"formattedCitation":"(1)","plainTextFormattedCitation":"(1)","previouslyFormattedCitation":"(1)"},"properties":{"noteIndex":0},"schema":"https://github.com/citation-style-language/schema/raw/master/csl-citation.json"}</w:instrText>
      </w:r>
      <w:r w:rsidRPr="003523D1">
        <w:rPr>
          <w:lang w:val="en-US" w:eastAsia="en-US"/>
        </w:rPr>
        <w:fldChar w:fldCharType="separate"/>
      </w:r>
      <w:r w:rsidRPr="003523D1">
        <w:rPr>
          <w:noProof/>
          <w:lang w:val="en-US" w:eastAsia="en-US"/>
        </w:rPr>
        <w:t>(1)</w:t>
      </w:r>
      <w:r w:rsidRPr="003523D1">
        <w:rPr>
          <w:lang w:val="en-US" w:eastAsia="en-US"/>
        </w:rPr>
        <w:fldChar w:fldCharType="end"/>
      </w:r>
      <w:r w:rsidRPr="003523D1">
        <w:rPr>
          <w:lang w:val="en-US" w:eastAsia="en-US"/>
        </w:rPr>
        <w:t>.</w:t>
      </w:r>
    </w:p>
    <w:p w:rsidR="00AD2784" w:rsidRDefault="003C7B44" w:rsidP="003C7B44">
      <w:pPr>
        <w:pStyle w:val="figure"/>
        <w:rPr>
          <w:lang w:val="en-US"/>
        </w:rPr>
      </w:pPr>
      <w:r>
        <w:rPr>
          <w:noProof/>
          <w:lang w:val="en-US"/>
        </w:rPr>
        <w:lastRenderedPageBreak/>
        <w:drawing>
          <wp:inline distT="0" distB="0" distL="0" distR="0">
            <wp:extent cx="1910296" cy="2865549"/>
            <wp:effectExtent l="0" t="0" r="0" b="0"/>
            <wp:docPr id="5" name="bogin_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ogin_fig1.jpg"/>
                    <pic:cNvPicPr/>
                  </pic:nvPicPr>
                  <pic:blipFill>
                    <a:blip r:link="rId8"/>
                    <a:stretch>
                      <a:fillRect/>
                    </a:stretch>
                  </pic:blipFill>
                  <pic:spPr>
                    <a:xfrm>
                      <a:off x="0" y="0"/>
                      <a:ext cx="1919276" cy="2879019"/>
                    </a:xfrm>
                    <a:prstGeom prst="rect">
                      <a:avLst/>
                    </a:prstGeom>
                  </pic:spPr>
                </pic:pic>
              </a:graphicData>
            </a:graphic>
          </wp:inline>
        </w:drawing>
      </w:r>
    </w:p>
    <w:p w:rsidR="003C7B44" w:rsidRPr="00B539F5" w:rsidRDefault="003C7B44" w:rsidP="003C7B44">
      <w:pPr>
        <w:pStyle w:val="figuretitle"/>
      </w:pPr>
      <w:r>
        <w:t xml:space="preserve">Figure 1 </w:t>
      </w:r>
      <w:r w:rsidRPr="003C7B44">
        <w:rPr>
          <w:b w:val="0"/>
        </w:rPr>
        <w:t>The basic pattern of human growth. Average distance (A) and velocity (B) curves of growth in height for healthy girls (dashed lines) and boys (solid lines). Distance is the amount of height achieved at a given age. In part A, the image shows a child’s height being measured. Velocity is the rate of growth at a given time, in this case shown as centimeters per year. In part B the running figure represents “velocity.” The velocity curves show the postnatal stages of the pattern of human growth. Note the spurts in growth rate at mid-childhood and adolescence for both girls and boys. The postnatal stages: I, infancy; C, childhood; J, juvenile; A, adolescence; M, mature adult. The average values shown in this figure are based on northern European girls and boys. While almost all healthy, full-term newborn humans average ~50 cm in length, with a range of 48-52 cm, amounts and rates of growth soon begin to vary both within and between populations. The average adult height of women and men across 202 nations and territories of the world (no Pygmy groups) has a range of 20 cm for women and 23 cm for men (84). Original figure, B Bogin.</w:t>
      </w:r>
    </w:p>
    <w:p w:rsidR="003120F4" w:rsidRPr="00B539F5" w:rsidRDefault="003C7B44" w:rsidP="00AD2784">
      <w:pPr>
        <w:pStyle w:val="Headline-2"/>
        <w:rPr>
          <w:lang w:val="en-US"/>
        </w:rPr>
      </w:pPr>
      <w:r w:rsidRPr="003C7B44">
        <w:rPr>
          <w:lang w:val="en-US"/>
        </w:rPr>
        <w:t>SEPE factors</w:t>
      </w:r>
    </w:p>
    <w:p w:rsidR="008D6C40" w:rsidRPr="00BA2961" w:rsidRDefault="003C7B44" w:rsidP="004518BD">
      <w:pPr>
        <w:rPr>
          <w:b/>
          <w:lang w:val="en-US"/>
        </w:rPr>
      </w:pPr>
      <w:r w:rsidRPr="00BA2961">
        <w:rPr>
          <w:lang w:val="en-US"/>
        </w:rPr>
        <w:t>This article focuses on the SEPE factors. I have been developing the concept of SEPE factors since 1974, when I began my research on human growth in Guatemala. Since then my research took me to projects in Mexico, the United States, South Africa, Portugal, the United Kingdom, and Spain. Participants in the research were from these countries or were immigrants from Guatemala, Cape Verde, and Bangladesh. The geographic and cultural diversity of the people who graciously agreed to participate in the research had much impact on me professionally and personally.  From my interactions with them and from learning about their countries of origin and their lives I came to appreciate the central role that SEPE factors have in human growth and development.</w:t>
      </w:r>
    </w:p>
    <w:p w:rsidR="006910A9" w:rsidRDefault="00F07E5B" w:rsidP="004518BD">
      <w:pPr>
        <w:pStyle w:val="tabletitle"/>
      </w:pPr>
      <w:r w:rsidRPr="00174B5A">
        <w:t>Tab</w:t>
      </w:r>
      <w:r w:rsidR="00D40276" w:rsidRPr="00174B5A">
        <w:t xml:space="preserve">le </w:t>
      </w:r>
      <w:r w:rsidR="00D40276" w:rsidRPr="00174B5A">
        <w:fldChar w:fldCharType="begin"/>
      </w:r>
      <w:r w:rsidR="00D40276" w:rsidRPr="00174B5A">
        <w:instrText xml:space="preserve"> SEQ Tabelle \* ARABIC </w:instrText>
      </w:r>
      <w:r w:rsidR="00D40276" w:rsidRPr="00174B5A">
        <w:fldChar w:fldCharType="separate"/>
      </w:r>
      <w:r w:rsidR="00210E48">
        <w:rPr>
          <w:noProof/>
        </w:rPr>
        <w:t>1</w:t>
      </w:r>
      <w:r w:rsidR="00D40276" w:rsidRPr="00174B5A">
        <w:fldChar w:fldCharType="end"/>
      </w:r>
      <w:r w:rsidR="00D40276" w:rsidRPr="00174B5A">
        <w:t xml:space="preserve"> </w:t>
      </w:r>
      <w:r w:rsidR="00D26527" w:rsidRPr="00D26527">
        <w:rPr>
          <w:b w:val="0"/>
        </w:rPr>
        <w:t>Mean (SD) IGF-1 levels (</w:t>
      </w:r>
      <w:proofErr w:type="spellStart"/>
      <w:r w:rsidR="00D26527" w:rsidRPr="00D26527">
        <w:rPr>
          <w:b w:val="0"/>
        </w:rPr>
        <w:t>μg</w:t>
      </w:r>
      <w:proofErr w:type="spellEnd"/>
      <w:r w:rsidR="00D26527" w:rsidRPr="00D26527">
        <w:rPr>
          <w:b w:val="0"/>
        </w:rPr>
        <w:t>/L) 24 hours before and 24 hours after the game by win or lose.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
        <w:gridCol w:w="808"/>
        <w:gridCol w:w="1558"/>
        <w:gridCol w:w="852"/>
        <w:gridCol w:w="1154"/>
        <w:gridCol w:w="1003"/>
      </w:tblGrid>
      <w:tr w:rsidR="00D26527" w:rsidRPr="00D26527" w:rsidTr="00A44DDF">
        <w:tc>
          <w:tcPr>
            <w:tcW w:w="1001" w:type="dxa"/>
          </w:tcPr>
          <w:p w:rsidR="00D26527" w:rsidRPr="00D26527" w:rsidRDefault="00D26527" w:rsidP="00D26527">
            <w:pPr>
              <w:pStyle w:val="tablehead"/>
              <w:rPr>
                <w:lang w:val="en-GB"/>
              </w:rPr>
            </w:pPr>
          </w:p>
        </w:tc>
        <w:tc>
          <w:tcPr>
            <w:tcW w:w="808" w:type="dxa"/>
          </w:tcPr>
          <w:p w:rsidR="00D26527" w:rsidRPr="00D26527" w:rsidRDefault="00D26527" w:rsidP="00D26527">
            <w:pPr>
              <w:pStyle w:val="tablehead"/>
              <w:rPr>
                <w:lang w:val="en-GB"/>
              </w:rPr>
            </w:pPr>
            <w:r w:rsidRPr="00D26527">
              <w:rPr>
                <w:lang w:val="en-GB"/>
              </w:rPr>
              <w:t>Win n=55</w:t>
            </w:r>
          </w:p>
        </w:tc>
        <w:tc>
          <w:tcPr>
            <w:tcW w:w="1558" w:type="dxa"/>
          </w:tcPr>
          <w:p w:rsidR="00D26527" w:rsidRPr="00D26527" w:rsidRDefault="00D26527" w:rsidP="00D26527">
            <w:pPr>
              <w:pStyle w:val="tablehead"/>
              <w:rPr>
                <w:lang w:val="en-GB"/>
              </w:rPr>
            </w:pPr>
          </w:p>
        </w:tc>
        <w:tc>
          <w:tcPr>
            <w:tcW w:w="852" w:type="dxa"/>
          </w:tcPr>
          <w:p w:rsidR="00D26527" w:rsidRPr="00D26527" w:rsidRDefault="00D26527" w:rsidP="00D26527">
            <w:pPr>
              <w:pStyle w:val="tablehead"/>
              <w:rPr>
                <w:lang w:val="en-GB"/>
              </w:rPr>
            </w:pPr>
            <w:r w:rsidRPr="00D26527">
              <w:rPr>
                <w:lang w:val="en-GB"/>
              </w:rPr>
              <w:t>Lose n=46</w:t>
            </w:r>
          </w:p>
        </w:tc>
        <w:tc>
          <w:tcPr>
            <w:tcW w:w="1154" w:type="dxa"/>
          </w:tcPr>
          <w:p w:rsidR="00D26527" w:rsidRPr="00D26527" w:rsidRDefault="00D26527" w:rsidP="00D26527">
            <w:pPr>
              <w:pStyle w:val="tablehead"/>
              <w:rPr>
                <w:lang w:val="en-GB"/>
              </w:rPr>
            </w:pPr>
          </w:p>
        </w:tc>
        <w:tc>
          <w:tcPr>
            <w:tcW w:w="1003" w:type="dxa"/>
          </w:tcPr>
          <w:p w:rsidR="00D26527" w:rsidRPr="00D26527" w:rsidRDefault="00D26527" w:rsidP="00D26527">
            <w:pPr>
              <w:pStyle w:val="tablehead"/>
              <w:rPr>
                <w:lang w:val="en-GB"/>
              </w:rPr>
            </w:pPr>
          </w:p>
        </w:tc>
      </w:tr>
      <w:tr w:rsidR="00D26527" w:rsidRPr="00D26527" w:rsidTr="00A44DDF">
        <w:tc>
          <w:tcPr>
            <w:tcW w:w="1001" w:type="dxa"/>
          </w:tcPr>
          <w:p w:rsidR="00D26527" w:rsidRPr="00D26527" w:rsidRDefault="00D26527" w:rsidP="00D26527">
            <w:pPr>
              <w:pStyle w:val="tablehead"/>
            </w:pPr>
            <w:proofErr w:type="spellStart"/>
            <w:r w:rsidRPr="00D26527">
              <w:t>Pre</w:t>
            </w:r>
            <w:proofErr w:type="spellEnd"/>
          </w:p>
        </w:tc>
        <w:tc>
          <w:tcPr>
            <w:tcW w:w="808" w:type="dxa"/>
          </w:tcPr>
          <w:p w:rsidR="00D26527" w:rsidRPr="00D26527" w:rsidRDefault="00D26527" w:rsidP="00D26527">
            <w:pPr>
              <w:pStyle w:val="tablecell"/>
              <w:rPr>
                <w:lang w:val="en-GB"/>
              </w:rPr>
            </w:pPr>
            <w:r w:rsidRPr="00D26527">
              <w:rPr>
                <w:lang w:val="en-GB"/>
              </w:rPr>
              <w:t xml:space="preserve">47.8 </w:t>
            </w:r>
          </w:p>
        </w:tc>
        <w:tc>
          <w:tcPr>
            <w:tcW w:w="1558" w:type="dxa"/>
          </w:tcPr>
          <w:p w:rsidR="00D26527" w:rsidRPr="00D26527" w:rsidRDefault="00D26527" w:rsidP="00D26527">
            <w:pPr>
              <w:pStyle w:val="tablecell"/>
              <w:rPr>
                <w:lang w:val="en-GB"/>
              </w:rPr>
            </w:pPr>
            <w:r w:rsidRPr="00D26527">
              <w:rPr>
                <w:lang w:val="en-GB"/>
              </w:rPr>
              <w:t>(14.8)</w:t>
            </w:r>
          </w:p>
        </w:tc>
        <w:tc>
          <w:tcPr>
            <w:tcW w:w="852" w:type="dxa"/>
          </w:tcPr>
          <w:p w:rsidR="00D26527" w:rsidRPr="00D26527" w:rsidRDefault="00D26527" w:rsidP="00D26527">
            <w:pPr>
              <w:pStyle w:val="tablecell"/>
              <w:rPr>
                <w:lang w:val="en-GB"/>
              </w:rPr>
            </w:pPr>
            <w:r w:rsidRPr="00D26527">
              <w:rPr>
                <w:lang w:val="en-GB"/>
              </w:rPr>
              <w:t>43.1</w:t>
            </w:r>
          </w:p>
        </w:tc>
        <w:tc>
          <w:tcPr>
            <w:tcW w:w="1154" w:type="dxa"/>
          </w:tcPr>
          <w:p w:rsidR="00D26527" w:rsidRPr="00D26527" w:rsidRDefault="00D26527" w:rsidP="00D26527">
            <w:pPr>
              <w:pStyle w:val="tablecell"/>
              <w:rPr>
                <w:lang w:val="en-GB"/>
              </w:rPr>
            </w:pPr>
            <w:r w:rsidRPr="00D26527">
              <w:rPr>
                <w:lang w:val="en-GB"/>
              </w:rPr>
              <w:t>(14.9)</w:t>
            </w:r>
          </w:p>
        </w:tc>
        <w:tc>
          <w:tcPr>
            <w:tcW w:w="1003" w:type="dxa"/>
          </w:tcPr>
          <w:p w:rsidR="00D26527" w:rsidRPr="00D26527" w:rsidRDefault="00D26527" w:rsidP="00D26527">
            <w:pPr>
              <w:pStyle w:val="tablecell"/>
              <w:rPr>
                <w:lang w:val="en-GB"/>
              </w:rPr>
            </w:pPr>
          </w:p>
        </w:tc>
      </w:tr>
      <w:tr w:rsidR="00D26527" w:rsidRPr="00D26527" w:rsidTr="00A44DDF">
        <w:trPr>
          <w:trHeight w:val="443"/>
        </w:trPr>
        <w:tc>
          <w:tcPr>
            <w:tcW w:w="1001" w:type="dxa"/>
          </w:tcPr>
          <w:p w:rsidR="00D26527" w:rsidRPr="00D26527" w:rsidRDefault="00D26527" w:rsidP="00D26527">
            <w:pPr>
              <w:pStyle w:val="tablehead"/>
            </w:pPr>
            <w:r w:rsidRPr="00D26527">
              <w:t>Post</w:t>
            </w:r>
          </w:p>
        </w:tc>
        <w:tc>
          <w:tcPr>
            <w:tcW w:w="808" w:type="dxa"/>
          </w:tcPr>
          <w:p w:rsidR="00D26527" w:rsidRPr="00D26527" w:rsidRDefault="00D26527" w:rsidP="00D26527">
            <w:pPr>
              <w:pStyle w:val="tablecell"/>
              <w:rPr>
                <w:lang w:val="en-GB"/>
              </w:rPr>
            </w:pPr>
            <w:r w:rsidRPr="00D26527">
              <w:rPr>
                <w:lang w:val="en-GB"/>
              </w:rPr>
              <w:t>46.8</w:t>
            </w:r>
          </w:p>
        </w:tc>
        <w:tc>
          <w:tcPr>
            <w:tcW w:w="1558" w:type="dxa"/>
          </w:tcPr>
          <w:p w:rsidR="00D26527" w:rsidRPr="00D26527" w:rsidRDefault="00D26527" w:rsidP="00D26527">
            <w:pPr>
              <w:pStyle w:val="tablecell"/>
              <w:rPr>
                <w:lang w:val="en-GB"/>
              </w:rPr>
            </w:pPr>
            <w:r w:rsidRPr="00D26527">
              <w:rPr>
                <w:lang w:val="en-GB"/>
              </w:rPr>
              <w:t>(16.5)</w:t>
            </w:r>
          </w:p>
        </w:tc>
        <w:tc>
          <w:tcPr>
            <w:tcW w:w="852" w:type="dxa"/>
          </w:tcPr>
          <w:p w:rsidR="00D26527" w:rsidRPr="00D26527" w:rsidRDefault="00D26527" w:rsidP="00D26527">
            <w:pPr>
              <w:pStyle w:val="tablecell"/>
              <w:rPr>
                <w:lang w:val="en-GB"/>
              </w:rPr>
            </w:pPr>
            <w:r w:rsidRPr="00D26527">
              <w:rPr>
                <w:lang w:val="en-GB"/>
              </w:rPr>
              <w:t>42.8</w:t>
            </w:r>
          </w:p>
        </w:tc>
        <w:tc>
          <w:tcPr>
            <w:tcW w:w="1154" w:type="dxa"/>
          </w:tcPr>
          <w:p w:rsidR="00D26527" w:rsidRPr="00D26527" w:rsidRDefault="00D26527" w:rsidP="00D26527">
            <w:pPr>
              <w:pStyle w:val="tablecell"/>
              <w:rPr>
                <w:lang w:val="en-GB"/>
              </w:rPr>
            </w:pPr>
            <w:r w:rsidRPr="00D26527">
              <w:rPr>
                <w:lang w:val="en-GB"/>
              </w:rPr>
              <w:t>(14.3)</w:t>
            </w:r>
          </w:p>
        </w:tc>
        <w:tc>
          <w:tcPr>
            <w:tcW w:w="1003" w:type="dxa"/>
          </w:tcPr>
          <w:p w:rsidR="00D26527" w:rsidRPr="00D26527" w:rsidRDefault="00D26527" w:rsidP="00D26527">
            <w:pPr>
              <w:pStyle w:val="tablecell"/>
              <w:rPr>
                <w:lang w:val="en-GB"/>
              </w:rPr>
            </w:pPr>
          </w:p>
        </w:tc>
      </w:tr>
      <w:tr w:rsidR="00D26527" w:rsidRPr="00D26527" w:rsidTr="00A44DDF">
        <w:tc>
          <w:tcPr>
            <w:tcW w:w="1001" w:type="dxa"/>
          </w:tcPr>
          <w:p w:rsidR="00D26527" w:rsidRPr="00D26527" w:rsidRDefault="00D26527" w:rsidP="00D26527">
            <w:pPr>
              <w:pStyle w:val="tablehead"/>
            </w:pPr>
            <w:r w:rsidRPr="00D26527">
              <w:t xml:space="preserve">Mean </w:t>
            </w:r>
          </w:p>
          <w:p w:rsidR="00D26527" w:rsidRPr="00D26527" w:rsidRDefault="00D26527" w:rsidP="00D26527">
            <w:pPr>
              <w:pStyle w:val="tablehead"/>
            </w:pPr>
            <w:r w:rsidRPr="00D26527">
              <w:t>IGF-1</w:t>
            </w:r>
          </w:p>
        </w:tc>
        <w:tc>
          <w:tcPr>
            <w:tcW w:w="808" w:type="dxa"/>
          </w:tcPr>
          <w:p w:rsidR="00D26527" w:rsidRPr="00D26527" w:rsidRDefault="00D26527" w:rsidP="00D26527">
            <w:pPr>
              <w:pStyle w:val="tablecell"/>
              <w:rPr>
                <w:lang w:val="en-GB"/>
              </w:rPr>
            </w:pPr>
            <w:r w:rsidRPr="00D26527">
              <w:rPr>
                <w:lang w:val="en-GB"/>
              </w:rPr>
              <w:t>46.2</w:t>
            </w:r>
          </w:p>
        </w:tc>
        <w:tc>
          <w:tcPr>
            <w:tcW w:w="1558" w:type="dxa"/>
          </w:tcPr>
          <w:p w:rsidR="00D26527" w:rsidRPr="00D26527" w:rsidRDefault="00D26527" w:rsidP="00D26527">
            <w:pPr>
              <w:pStyle w:val="tablecell"/>
              <w:rPr>
                <w:lang w:val="en-GB"/>
              </w:rPr>
            </w:pPr>
            <w:r w:rsidRPr="00D26527">
              <w:rPr>
                <w:lang w:val="en-GB"/>
              </w:rPr>
              <w:t>(13.8)</w:t>
            </w:r>
          </w:p>
        </w:tc>
        <w:tc>
          <w:tcPr>
            <w:tcW w:w="852" w:type="dxa"/>
          </w:tcPr>
          <w:p w:rsidR="00D26527" w:rsidRPr="00D26527" w:rsidRDefault="00D26527" w:rsidP="00D26527">
            <w:pPr>
              <w:pStyle w:val="tablecell"/>
              <w:rPr>
                <w:lang w:val="en-GB"/>
              </w:rPr>
            </w:pPr>
            <w:r w:rsidRPr="00D26527">
              <w:rPr>
                <w:lang w:val="en-GB"/>
              </w:rPr>
              <w:t>41.6</w:t>
            </w:r>
          </w:p>
        </w:tc>
        <w:tc>
          <w:tcPr>
            <w:tcW w:w="1154" w:type="dxa"/>
          </w:tcPr>
          <w:p w:rsidR="00D26527" w:rsidRPr="00D26527" w:rsidRDefault="00D26527" w:rsidP="00D26527">
            <w:pPr>
              <w:pStyle w:val="tablecell"/>
              <w:rPr>
                <w:lang w:val="en-GB"/>
              </w:rPr>
            </w:pPr>
            <w:r w:rsidRPr="00D26527">
              <w:rPr>
                <w:lang w:val="en-GB"/>
              </w:rPr>
              <w:t>(12.4)</w:t>
            </w:r>
          </w:p>
        </w:tc>
        <w:tc>
          <w:tcPr>
            <w:tcW w:w="1003" w:type="dxa"/>
          </w:tcPr>
          <w:p w:rsidR="00D26527" w:rsidRPr="00D26527" w:rsidRDefault="00D26527" w:rsidP="00D26527">
            <w:pPr>
              <w:pStyle w:val="tablecell"/>
              <w:rPr>
                <w:lang w:val="en-GB"/>
              </w:rPr>
            </w:pPr>
            <w:r w:rsidRPr="00D26527">
              <w:rPr>
                <w:lang w:val="en-GB"/>
              </w:rPr>
              <w:t>p=0.04</w:t>
            </w:r>
          </w:p>
        </w:tc>
      </w:tr>
    </w:tbl>
    <w:p w:rsidR="00E426C9" w:rsidRDefault="00F57C85" w:rsidP="00C65DD8">
      <w:pPr>
        <w:pStyle w:val="tablesub"/>
      </w:pPr>
      <w:r w:rsidRPr="00174B5A">
        <w:t xml:space="preserve">* </w:t>
      </w:r>
      <w:r w:rsidR="00F7263D">
        <w:t>table-sub</w:t>
      </w:r>
    </w:p>
    <w:p w:rsidR="00D26527" w:rsidRPr="00D26527" w:rsidRDefault="00D26527" w:rsidP="00D26527">
      <w:pPr>
        <w:rPr>
          <w:lang w:val="en-US"/>
        </w:rPr>
      </w:pPr>
      <w:r w:rsidRPr="00D26527">
        <w:rPr>
          <w:lang w:val="en-US"/>
        </w:rPr>
        <w:t xml:space="preserve">The subordinate or dominant status of people in a society is related to the concept of socioeconomic status (SES) but not identical to SES. In its most widespread usage, SES is a concept devised by the social scientists, statisticians, and the governmental tax authorities   to measure some aspects of education, occupation, and social prestige of a person or a social group. One early usage was by the psychologist Raymond Cattell (1905-1998) who claimed that the essence of socioeconomic status was the “prestige factor” (8). Prestige was derived from a person’s occupation and was more important than income, property, or education, but prestige was highly correlated with these. Cattell (p. 300) wrote that, </w:t>
      </w:r>
    </w:p>
    <w:p w:rsidR="00D26527" w:rsidRPr="00D26527" w:rsidRDefault="00D26527" w:rsidP="00D26527">
      <w:pPr>
        <w:rPr>
          <w:lang w:val="en-US"/>
        </w:rPr>
      </w:pPr>
    </w:p>
    <w:p w:rsidR="00D26527" w:rsidRDefault="00D26527" w:rsidP="00D26527">
      <w:pPr>
        <w:rPr>
          <w:i/>
          <w:lang w:val="en-US"/>
        </w:rPr>
      </w:pPr>
      <w:r w:rsidRPr="00D26527">
        <w:rPr>
          <w:i/>
          <w:lang w:val="en-US"/>
        </w:rPr>
        <w:t>Social status, in short, is a purely psychological entity. Such a statement must not be taken to mean that it is not real or that it cannot be measured or that it is not a precisely definable concept. It is to be defined and measured in terms of behavior, implying mental states behind behavior. The prestige of an occupation is resident in the minds of all people in the community and is to be measured by assessing their attitudes towards it at a given time.</w:t>
      </w:r>
    </w:p>
    <w:p w:rsidR="00D26527" w:rsidRDefault="00D26527" w:rsidP="00DC6EE3">
      <w:pPr>
        <w:pStyle w:val="Headline-3"/>
        <w:spacing w:before="0"/>
        <w:rPr>
          <w:b w:val="0"/>
          <w:szCs w:val="24"/>
        </w:rPr>
      </w:pPr>
    </w:p>
    <w:p w:rsidR="00D26527" w:rsidRDefault="00D26527" w:rsidP="00DC6EE3">
      <w:pPr>
        <w:pStyle w:val="Headline-3"/>
        <w:spacing w:before="0"/>
        <w:rPr>
          <w:b w:val="0"/>
          <w:szCs w:val="24"/>
        </w:rPr>
      </w:pPr>
      <w:r>
        <w:rPr>
          <w:b w:val="0"/>
          <w:szCs w:val="24"/>
        </w:rPr>
        <w:t>???</w:t>
      </w:r>
      <w:r w:rsidRPr="00D26527">
        <w:rPr>
          <w:b w:val="0"/>
          <w:szCs w:val="24"/>
        </w:rPr>
        <w:t xml:space="preserve">Text Box 1. Definitions and brief description of the </w:t>
      </w:r>
      <w:proofErr w:type="gramStart"/>
      <w:r w:rsidRPr="00D26527">
        <w:rPr>
          <w:b w:val="0"/>
          <w:szCs w:val="24"/>
        </w:rPr>
        <w:t>terms</w:t>
      </w:r>
      <w:proofErr w:type="gramEnd"/>
      <w:r w:rsidRPr="00D26527">
        <w:rPr>
          <w:b w:val="0"/>
          <w:szCs w:val="24"/>
        </w:rPr>
        <w:t xml:space="preserve"> strategic growth adjustments, community effects, dominance-subordination, social identity, ego motivation, and task motivation. Further discussion is found in the main text.</w:t>
      </w:r>
    </w:p>
    <w:p w:rsidR="00D26527" w:rsidRDefault="00D26527" w:rsidP="00DC6EE3">
      <w:pPr>
        <w:pStyle w:val="Headline-3"/>
        <w:spacing w:before="0"/>
      </w:pPr>
    </w:p>
    <w:p w:rsidR="00F57C85" w:rsidRPr="00174B5A" w:rsidRDefault="00D26527" w:rsidP="00DC6EE3">
      <w:pPr>
        <w:pStyle w:val="Headline-3"/>
        <w:spacing w:before="0"/>
      </w:pPr>
      <w:r w:rsidRPr="00D26527">
        <w:t>SEPE factors and the Material &amp; Moral Conditions of Society</w:t>
      </w:r>
    </w:p>
    <w:p w:rsidR="008D6C40" w:rsidRPr="00BA2961" w:rsidRDefault="00D26527" w:rsidP="008D6C40">
      <w:pPr>
        <w:rPr>
          <w:lang w:val="en-US"/>
        </w:rPr>
      </w:pPr>
      <w:r w:rsidRPr="00BA2961">
        <w:rPr>
          <w:lang w:val="en-US"/>
        </w:rPr>
        <w:lastRenderedPageBreak/>
        <w:t>The concept of SES is part of the SEPE factors hypothesis for human growth regulation. SES, however, does not capture the nature or causes of strategic growth adjustments and community effects in height. As used by many researchers today SES also fails to capture the emotional nature of prestige and its impacts on dominance-subordination, ego motivation, and task motivation. SEPE goes beyond SES to capture these by addressing the material and moral conditions of the community and larger society. The role of material and moral conditions on physical growth was observed by James M. Tanner (1920–2010), a growth researcher and historian of social medicine. Tanner stated that human growth provides a ‘mirror’ of the human condition, reflecting the “…material and moral conditions of that society” (14). These material and moral conditions have joint, interactive impact on the growth and development of young people. Ever since Tanner, the ‘growth as a mirror’ metaphor has been widely used (15,16).</w:t>
      </w:r>
    </w:p>
    <w:p w:rsidR="00D26527" w:rsidRPr="00BA2961" w:rsidRDefault="00D26527" w:rsidP="00D26527">
      <w:pPr>
        <w:rPr>
          <w:lang w:val="en-US"/>
        </w:rPr>
      </w:pPr>
      <w:r w:rsidRPr="00BA2961">
        <w:rPr>
          <w:lang w:val="en-US"/>
        </w:rPr>
        <w:t xml:space="preserve">Inherent in the SEPE factors hypothesis of human growth are the ‘material and moral conditions’ of a society or nation, and it is the importance of those conditions which further justifies the association of the words ‘social-economic-political-emotional’. Within the SEPE factors perspective there are testable hypotheses about the regulation of human growth. The following is a list of how each SEPE term relates to </w:t>
      </w:r>
      <w:bookmarkStart w:id="1" w:name="_Hlk59168191"/>
      <w:r w:rsidRPr="00BA2961">
        <w:rPr>
          <w:lang w:val="en-US"/>
        </w:rPr>
        <w:t>prestige, dominance-subordination, ego motivation, material and moral conditions</w:t>
      </w:r>
      <w:bookmarkEnd w:id="1"/>
      <w:r w:rsidRPr="00BA2961">
        <w:rPr>
          <w:lang w:val="en-US"/>
        </w:rPr>
        <w:t>, and citations to the hypothesis testing:</w:t>
      </w:r>
    </w:p>
    <w:p w:rsidR="00D26527" w:rsidRPr="00BA2961" w:rsidRDefault="00D26527" w:rsidP="00BA2961">
      <w:pPr>
        <w:pStyle w:val="Normallist"/>
      </w:pPr>
      <w:r w:rsidRPr="00BA2961">
        <w:rPr>
          <w:i/>
          <w:iCs/>
        </w:rPr>
        <w:t>Social</w:t>
      </w:r>
      <w:r w:rsidRPr="00BA2961">
        <w:t xml:space="preserve"> refers to the community, to the network of all things ranging from </w:t>
      </w:r>
      <w:r w:rsidRPr="00BA2961">
        <w:rPr>
          <w:b/>
        </w:rPr>
        <w:t>material</w:t>
      </w:r>
      <w:r w:rsidRPr="00BA2961">
        <w:t xml:space="preserve"> items to </w:t>
      </w:r>
      <w:r w:rsidRPr="00BA2961">
        <w:rPr>
          <w:b/>
        </w:rPr>
        <w:t>moral</w:t>
      </w:r>
      <w:r w:rsidRPr="00BA2961">
        <w:t xml:space="preserve"> imperatives that are communal and shared by groups of people, even nations, operating in private and public arenas. The </w:t>
      </w:r>
      <w:r w:rsidRPr="00BA2961">
        <w:rPr>
          <w:b/>
        </w:rPr>
        <w:t>material-to-moral</w:t>
      </w:r>
      <w:r w:rsidRPr="00BA2961">
        <w:t xml:space="preserve"> assets of social networks and the differences in </w:t>
      </w:r>
      <w:r w:rsidRPr="00BA2961">
        <w:rPr>
          <w:b/>
        </w:rPr>
        <w:t>prestige dominance-subordination</w:t>
      </w:r>
      <w:r w:rsidRPr="00BA2961">
        <w:t xml:space="preserve">, </w:t>
      </w:r>
      <w:r w:rsidRPr="00BA2961">
        <w:rPr>
          <w:b/>
        </w:rPr>
        <w:t>social identity</w:t>
      </w:r>
      <w:r w:rsidRPr="00BA2961">
        <w:t xml:space="preserve">, and </w:t>
      </w:r>
      <w:r w:rsidRPr="00BA2961">
        <w:rPr>
          <w:b/>
        </w:rPr>
        <w:t>ego motivation</w:t>
      </w:r>
      <w:r w:rsidRPr="00BA2961">
        <w:t xml:space="preserve"> of people within the network create much of the living conditions of their community. This </w:t>
      </w:r>
      <w:r w:rsidRPr="00BA2961">
        <w:rPr>
          <w:i/>
          <w:iCs/>
        </w:rPr>
        <w:t>Social</w:t>
      </w:r>
      <w:r w:rsidRPr="00BA2961">
        <w:t xml:space="preserve"> aspect of SEPE is formalized in tests of the community effects hypothesis </w:t>
      </w:r>
      <w:r w:rsidRPr="00BA2961">
        <w:fldChar w:fldCharType="begin" w:fldLock="1"/>
      </w:r>
      <w:r w:rsidRPr="00BA2961">
        <w:instrText>ADDIN CSL_CITATION {"citationItems":[{"id":"ITEM-1","itemData":{"DOI":"10.1017/9781108379977","ISBN":"978110843448","author":[{"dropping-particle":"","family":"Bogin","given":"Barry","non-dropping-particle":"","parse-names":false,"suffix":""}],"edition":"3rd","id":"ITEM-1","issued":{"date-parts":[["2021"]]},"publisher":"Cambridge University Press","publisher-place":"Cambridge","title":"Patterns of Human Growth","type":"book"},"uris":["http://www.mendeley.com/documents/?uuid=0a23caab-8cb3-4ccc-a1b4-59d329f2575f"]},{"id":"ITEM-2","itemData":{"DOI":"10.3390/ijerph120504816","ISSN":"16604601","abstract":"We test the hypothesis that differences in social status between groups of people within a population may induce variation in insulin-like growth factor-1(IGF-1) levels and, by extension, growth in height. This is called the community effect in height hypothesis. The relationship between IGF-1, assessed via finger-prick dried blood spot, and elite level sport competition outcomes were analysed for a sample of 116 undergraduate men and women. There was a statistically significant difference between winners and losers of a competition. Winners, as a group, had higher average pre-game and post-game IGF-1 levels than losers. We proposed this type of difference as a proxy for social dominance. We found no evidence that winners increased in IGF-1 levels over losers or that members of the same team were more similar in IGF-1 levels than they were to players from other teams. These findings provide limited support toward the community effect in height hypothesis. The findings are discussed in relation to the action of the growth hormone/IGF-1 axis as a transducer of multiple bio-social influences into a coherent signal which allows the growing human to adjust and adapt to local ecological conditions.","author":[{"dropping-particle":"","family":"Bogin","given":"Barry","non-dropping-particle":"","parse-names":false,"suffix":""},{"dropping-particle":"","family":"Hermanussen","given":"M.","non-dropping-particle":"","parse-names":false,"suffix":""},{"dropping-particle":"","family":"Blum","given":"W.F.","non-dropping-particle":"","parse-names":false,"suffix":""},{"dropping-particle":"","family":"Aßmann","given":"C.","non-dropping-particle":"","parse-names":false,"suffix":""}],"container-title":"International Journal of Environmental Research and Public Health","id":"ITEM-2","issue":"5","issued":{"date-parts":[["2015"]]},"page":"4816-4832","title":"Sex, sport, IGF-1 and the community effect in height hypothesis","type":"article-journal","volume":"12"},"uris":["http://www.mendeley.com/documents/?uuid=504a6c77-e12c-3f41-b338-6f73c9400852"]},{"id":"ITEM-3","itemData":{"DOI":"10.1127/0003-5548/2014/0466","abstract":"Background: Human populations differ in height. Recent evidence suggests that social networks play an important role in the regulation of adolescent growth and adult height. We further investigated the effect of physical connectedness on height. Material and methods: We considered Switzerland as a geographic network with 169 nodes (district capitals) and 335 edges (connecting roads) and studied effects of connectedness on height in Swiss conscript from 1884–1891, 1908–1910, and 2004–2009. We also created exponential-family random graph models to separate possible unspecific effects of geographic vicinity. Results: In 1884–1891, in 1908–1910, and in 2004–2009, 1st, 2nd and 3rd order neighboring districts significantly correlate in height (p &lt; 0.01). The correlations depend on the order of connectedness, they decline with increasing distance. Short stature districts tend to have short, tall stature districts tend to have tall neighbors. Random network analyses suggest direct road effects on height. Whereas in 1884–1891, direct road effects were only visible between 1st order neighbors, direct road effects extended to 2nd and 3rd in 1908–1910, and in 2004–2009, also to 4th order neighbors, and might reflect historic improvements in transportation. The spatial correlations did not significantly change when height was controlled for goiter (1884–1889) and for median per capita income (2006), suggesting direct road effects also in goiter-allowed-for height and income-allowed-for height. Conclusion: Height in a district depends on height of physically connected neighboring districts. The association decreases with increasing distance in the net. The present data suggest that people can be short because their neighbors are short; or tall because their neighbors are tall (community effect on growth). Psycho-</w:instrText>
      </w:r>
      <w:r w:rsidRPr="00BA2961">
        <w:lastRenderedPageBreak/>
        <w:instrText>biological effects seem to control growth and development","author":[{"dropping-particle":"","family":"Hermanussen","given":"Michael","non-dropping-particle":"","parse-names":false,"suffix":""},{"dropping-particle":"","family":"Alt","given":"Christoph","non-dropping-particle":"","parse-names":false,"suffix":""},{"dropping-particle":"","family":"Staub","given":"Kaspar","non-dropping-particle":"","parse-names":false,"suffix":""},{"dropping-particle":"","family":"Groth","given":"Detlef","non-dropping-particle":"","parse-names":false,"suffix":""}],"container-title":"Anthropologischer Anzeiger","id":"ITEM-3","issue":"June","issued":{"date-parts":[["2014"]]},"page":"313–327","title":"The impact of physical connectedness on body height in Swiss conscripts","type":"article-journal","volume":"4"},"uris":["http://www.mendeley.com/documents/?uuid=d3a581af-f85e-4942-b139-631749e4f7ac"]}],"mendeley":{"formattedCitation":"(1,17,18)","manualFormatting":"(1, chapter 8, 17,18, and other citations given previously)","plainTextFormattedCitation":"(1,17,18)","previouslyFormattedCitation":"(1,17,18)"},"properties":{"noteIndex":0},"schema":"https://github.com/citation-style-language/schema/raw/master/csl-citation.json"}</w:instrText>
      </w:r>
      <w:r w:rsidRPr="00BA2961">
        <w:fldChar w:fldCharType="separate"/>
      </w:r>
      <w:r w:rsidRPr="00BA2961">
        <w:t>(1, chapter 8, 17,18, and other citations given previously)</w:t>
      </w:r>
      <w:r w:rsidRPr="00BA2961">
        <w:fldChar w:fldCharType="end"/>
      </w:r>
      <w:r w:rsidRPr="00BA2961">
        <w:t>.</w:t>
      </w:r>
    </w:p>
    <w:p w:rsidR="00D26527" w:rsidRPr="00D26527" w:rsidRDefault="00D26527" w:rsidP="00BA2961">
      <w:pPr>
        <w:pStyle w:val="Normallist"/>
      </w:pPr>
      <w:r w:rsidRPr="00D26527">
        <w:rPr>
          <w:i/>
          <w:iCs/>
        </w:rPr>
        <w:t>Economic</w:t>
      </w:r>
      <w:r w:rsidRPr="00D26527">
        <w:t xml:space="preserve"> – refers to financial and monetary basis of community, social network, and nation. Anthropological research finds that all human groups have economic systems, including pre-industrial societies such as foragers (gatherer-hunters), pastoralists, horticulturalists, and pre-industrial, hierarchical state societies (e.g., ancient Egypt, Rome, Aztec, Maya, Vedic, and African Kingdoms of Kush and Zimbabwe; medieval Europe, China, Japan). The Economic aspect of SEPE focuses on production of goods and services, trade and costs, and the degree of inequality in these that create distributions of wealth or poverty. These have direct bearing on </w:t>
      </w:r>
      <w:r w:rsidRPr="00D26527">
        <w:rPr>
          <w:b/>
        </w:rPr>
        <w:t>material</w:t>
      </w:r>
      <w:r w:rsidRPr="00D26527">
        <w:t xml:space="preserve"> and </w:t>
      </w:r>
      <w:r w:rsidRPr="00D26527">
        <w:rPr>
          <w:b/>
        </w:rPr>
        <w:t>moral</w:t>
      </w:r>
      <w:r w:rsidRPr="00D26527">
        <w:t xml:space="preserve"> foundations of a society and the </w:t>
      </w:r>
      <w:r w:rsidRPr="00D26527">
        <w:rPr>
          <w:b/>
        </w:rPr>
        <w:t>prestige</w:t>
      </w:r>
      <w:r w:rsidRPr="00D26527">
        <w:t>,</w:t>
      </w:r>
      <w:r w:rsidRPr="00D26527">
        <w:rPr>
          <w:b/>
        </w:rPr>
        <w:t xml:space="preserve"> dominance-subordination, </w:t>
      </w:r>
      <w:r w:rsidRPr="00D26527">
        <w:t xml:space="preserve">and </w:t>
      </w:r>
      <w:r w:rsidRPr="00D26527">
        <w:rPr>
          <w:b/>
        </w:rPr>
        <w:t>social identity</w:t>
      </w:r>
      <w:r w:rsidRPr="00D26527">
        <w:t xml:space="preserve"> of its members. Marcel </w:t>
      </w:r>
      <w:proofErr w:type="spellStart"/>
      <w:r w:rsidRPr="00D26527">
        <w:t>Mauss</w:t>
      </w:r>
      <w:proofErr w:type="spellEnd"/>
      <w:r w:rsidRPr="00D26527">
        <w:t xml:space="preserve"> wrote eloquently and passionately about these in his book </w:t>
      </w:r>
      <w:r w:rsidRPr="00D26527">
        <w:rPr>
          <w:i/>
          <w:iCs/>
        </w:rPr>
        <w:t>The Gift</w:t>
      </w:r>
      <w:r w:rsidRPr="00D26527">
        <w:t xml:space="preserve"> (</w:t>
      </w:r>
      <w:proofErr w:type="spellStart"/>
      <w:r w:rsidRPr="00D26527">
        <w:rPr>
          <w:i/>
          <w:iCs/>
        </w:rPr>
        <w:t>Essai</w:t>
      </w:r>
      <w:proofErr w:type="spellEnd"/>
      <w:r w:rsidRPr="00D26527">
        <w:rPr>
          <w:i/>
          <w:iCs/>
        </w:rPr>
        <w:t xml:space="preserve"> sur la don</w:t>
      </w:r>
      <w:r w:rsidRPr="00D26527">
        <w:t>,</w:t>
      </w:r>
      <w:r w:rsidRPr="00D26527">
        <w:fldChar w:fldCharType="begin" w:fldLock="1"/>
      </w:r>
      <w:r w:rsidRPr="00D26527">
        <w:instrText>ADDIN CSL_CITATION {"citationItems":[{"id":"ITEM-1","itemData":{"author":[{"dropping-particle":"","family":"Mauss","given":"Marcel","non-dropping-particle":"","parse-names":false,"suffix":""}],"edition":"1967 repri","editor":[{"dropping-particle":"","family":"Cunnison","given":"Ian","non-dropping-particle":"","parse-names":false,"suffix":""},{"dropping-particle":"","family":"Evans-Pritchard","given":"E. E.","non-dropping-particle":"","parse-names":false,"suffix":""}],"id":"ITEM-1","issued":{"date-parts":[["1925"]]},"publisher":"W. W. Norton","publisher-place":"New York, NY","title":"The Gift: Forms and Functions of Exchange in Archaic Societies","type":"book"},"uris":["http://www.mendeley.com/documents/?uuid=f733b1e7-4fa1-462c-af4d-9213de394820"]}],"mendeley":{"formattedCitation":"(19)","manualFormatting":" 1925)","plainTextFormattedCitation":"(19)","previouslyFormattedCitation":"(19)"},"properties":{"noteIndex":0},"schema":"https://github.com/citation-style-language/schema/raw/master/csl-citation.json"}</w:instrText>
      </w:r>
      <w:r w:rsidRPr="00D26527">
        <w:fldChar w:fldCharType="separate"/>
      </w:r>
      <w:r w:rsidRPr="00D26527">
        <w:t xml:space="preserve"> 1925)</w:t>
      </w:r>
      <w:r w:rsidRPr="00D26527">
        <w:fldChar w:fldCharType="end"/>
      </w:r>
      <w:r w:rsidRPr="00D26527">
        <w:t xml:space="preserve">. This book is a sociological/anthropological classic on the economics, politics, and morality of exchange in non-western and ancient societies. People everywhere possess a fantastically detailed ‘mental ledger’ of exchange and according to </w:t>
      </w:r>
      <w:proofErr w:type="spellStart"/>
      <w:r w:rsidRPr="00D26527">
        <w:t>Mauss</w:t>
      </w:r>
      <w:proofErr w:type="spellEnd"/>
      <w:r w:rsidRPr="00D26527">
        <w:t xml:space="preserve"> this is because the purpose of exchange is not to amass ‘profit’, but rather to amass </w:t>
      </w:r>
      <w:r w:rsidRPr="00D26527">
        <w:rPr>
          <w:b/>
        </w:rPr>
        <w:t>prestige</w:t>
      </w:r>
      <w:r w:rsidRPr="00D26527">
        <w:t xml:space="preserve"> and to ward-off </w:t>
      </w:r>
      <w:r w:rsidRPr="00D26527">
        <w:rPr>
          <w:b/>
        </w:rPr>
        <w:t>moral turpitude</w:t>
      </w:r>
      <w:r w:rsidRPr="00D26527">
        <w:t xml:space="preserve">, that is, acts or behaviors that violate the accepted standard of the community. A person avoids </w:t>
      </w:r>
      <w:r w:rsidRPr="00D26527">
        <w:rPr>
          <w:b/>
        </w:rPr>
        <w:t>moral</w:t>
      </w:r>
      <w:r w:rsidRPr="00D26527">
        <w:t xml:space="preserve"> transgression and accrues greater </w:t>
      </w:r>
      <w:r w:rsidRPr="00D26527">
        <w:rPr>
          <w:b/>
        </w:rPr>
        <w:t>social identity</w:t>
      </w:r>
      <w:r w:rsidRPr="00D26527">
        <w:t xml:space="preserve">, </w:t>
      </w:r>
      <w:r w:rsidRPr="00D26527">
        <w:rPr>
          <w:b/>
        </w:rPr>
        <w:t>prestige</w:t>
      </w:r>
      <w:r w:rsidRPr="00D26527">
        <w:t xml:space="preserve">, and </w:t>
      </w:r>
      <w:r w:rsidRPr="00D26527">
        <w:rPr>
          <w:b/>
        </w:rPr>
        <w:t>dominance</w:t>
      </w:r>
      <w:r w:rsidRPr="00D26527">
        <w:t xml:space="preserve"> by meeting responsibilities for economic, political, religious, and ethical obligations. </w:t>
      </w:r>
    </w:p>
    <w:p w:rsidR="00D26527" w:rsidRPr="00B539F5" w:rsidRDefault="00D26527" w:rsidP="008D6C40">
      <w:pPr>
        <w:rPr>
          <w:color w:val="A6A6A6" w:themeColor="background1" w:themeShade="A6"/>
          <w:lang w:val="en-US"/>
        </w:rPr>
      </w:pPr>
    </w:p>
    <w:p w:rsidR="003C7B44" w:rsidRPr="003C7B44" w:rsidRDefault="003C7B44" w:rsidP="003C7B44">
      <w:pPr>
        <w:pStyle w:val="Headline-2"/>
        <w:rPr>
          <w:lang w:val="en-US" w:eastAsia="en-US"/>
        </w:rPr>
      </w:pPr>
      <w:r w:rsidRPr="003C7B44">
        <w:rPr>
          <w:lang w:val="en-US" w:eastAsia="en-US"/>
        </w:rPr>
        <w:t>References</w:t>
      </w:r>
    </w:p>
    <w:p w:rsidR="003C7B44" w:rsidRPr="003C7B44" w:rsidRDefault="003C7B44" w:rsidP="003C7B44">
      <w:pPr>
        <w:widowControl w:val="0"/>
        <w:suppressAutoHyphens w:val="0"/>
        <w:autoSpaceDE w:val="0"/>
        <w:autoSpaceDN w:val="0"/>
        <w:adjustRightInd w:val="0"/>
        <w:jc w:val="left"/>
        <w:rPr>
          <w:rFonts w:ascii="Arial" w:hAnsi="Arial" w:cs="Arial"/>
          <w:sz w:val="24"/>
          <w:lang w:val="en-US" w:eastAsia="en-US"/>
        </w:rPr>
      </w:pP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sz w:val="24"/>
          <w:lang w:val="en-US" w:eastAsia="en-US"/>
        </w:rPr>
        <w:fldChar w:fldCharType="begin" w:fldLock="1"/>
      </w:r>
      <w:r w:rsidRPr="003C7B44">
        <w:rPr>
          <w:rFonts w:ascii="Arial" w:hAnsi="Arial" w:cs="Arial"/>
          <w:sz w:val="24"/>
          <w:lang w:val="en-US" w:eastAsia="en-US"/>
        </w:rPr>
        <w:instrText xml:space="preserve">ADDIN Mendeley Bibliography CSL_BIBLIOGRAPHY </w:instrText>
      </w:r>
      <w:r w:rsidRPr="003C7B44">
        <w:rPr>
          <w:rFonts w:ascii="Arial" w:hAnsi="Arial" w:cs="Arial"/>
          <w:sz w:val="24"/>
          <w:lang w:val="en-US" w:eastAsia="en-US"/>
        </w:rPr>
        <w:fldChar w:fldCharType="separate"/>
      </w:r>
      <w:r w:rsidRPr="003C7B44">
        <w:rPr>
          <w:rFonts w:ascii="Arial" w:hAnsi="Arial" w:cs="Arial"/>
          <w:noProof/>
          <w:sz w:val="24"/>
          <w:lang w:val="en-US" w:eastAsia="en-US"/>
        </w:rPr>
        <w:t xml:space="preserve">1. </w:t>
      </w:r>
      <w:r w:rsidRPr="003C7B44">
        <w:rPr>
          <w:rFonts w:ascii="Arial" w:hAnsi="Arial" w:cs="Arial"/>
          <w:noProof/>
          <w:sz w:val="24"/>
          <w:lang w:val="en-US" w:eastAsia="en-US"/>
        </w:rPr>
        <w:tab/>
        <w:t xml:space="preserve">Bogin B. Patterns of Human Growth. 3rd ed. Cambridge: Cambridge University Press; 2021.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 </w:t>
      </w:r>
      <w:r w:rsidRPr="003C7B44">
        <w:rPr>
          <w:rFonts w:ascii="Arial" w:hAnsi="Arial" w:cs="Arial"/>
          <w:noProof/>
          <w:sz w:val="24"/>
          <w:lang w:val="en-US" w:eastAsia="en-US"/>
        </w:rPr>
        <w:tab/>
        <w:t xml:space="preserve">Bowditch HP. The growth of children. Boston: Albert J Wright; 1877.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 </w:t>
      </w:r>
      <w:r w:rsidRPr="003C7B44">
        <w:rPr>
          <w:rFonts w:ascii="Arial" w:hAnsi="Arial" w:cs="Arial"/>
          <w:noProof/>
          <w:sz w:val="24"/>
          <w:lang w:val="en-US" w:eastAsia="en-US"/>
        </w:rPr>
        <w:tab/>
        <w:t>Bowditch HP. The growth of children studied by Galton’s method of percentile grades. 22nd Annu Rep State board Heal Massachusetts Bost [Internet]. 1891;1891:479–522. Available from: https://archive.org/details/growthofchildren00bowd</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 </w:t>
      </w:r>
      <w:r w:rsidRPr="003C7B44">
        <w:rPr>
          <w:rFonts w:ascii="Arial" w:hAnsi="Arial" w:cs="Arial"/>
          <w:noProof/>
          <w:sz w:val="24"/>
          <w:lang w:val="en-US" w:eastAsia="en-US"/>
        </w:rPr>
        <w:tab/>
        <w:t xml:space="preserve">Boas F. The growth of children. Science. 1892 Dec 23;20(516):351–2.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 </w:t>
      </w:r>
      <w:r w:rsidRPr="003C7B44">
        <w:rPr>
          <w:rFonts w:ascii="Arial" w:hAnsi="Arial" w:cs="Arial"/>
          <w:noProof/>
          <w:sz w:val="24"/>
          <w:lang w:val="en-US" w:eastAsia="en-US"/>
        </w:rPr>
        <w:tab/>
        <w:t xml:space="preserve">Boas F. Changes in the bodily form of descendants of immigrants. Am Anthropol. 1912;NS, 14:530–562.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 </w:t>
      </w:r>
      <w:r w:rsidRPr="003C7B44">
        <w:rPr>
          <w:rFonts w:ascii="Arial" w:hAnsi="Arial" w:cs="Arial"/>
          <w:noProof/>
          <w:sz w:val="24"/>
          <w:lang w:val="en-US" w:eastAsia="en-US"/>
        </w:rPr>
        <w:tab/>
        <w:t xml:space="preserve">Hermanussen M, Bogin B, Scheffler C. Strategic growth adjustment. In: American Journal of Human Biology. 2017. p. 8.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 </w:t>
      </w:r>
      <w:r w:rsidRPr="003C7B44">
        <w:rPr>
          <w:rFonts w:ascii="Arial" w:hAnsi="Arial" w:cs="Arial"/>
          <w:noProof/>
          <w:sz w:val="24"/>
          <w:lang w:val="en-US" w:eastAsia="en-US"/>
        </w:rPr>
        <w:tab/>
        <w:t xml:space="preserve">Hermanussen M, Scheffler C. Stature signals status: The association of stature, status and perceived dominance - a thought experiment. Anthropol Anz. 2016 Nov 1;73(4):265–74.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 </w:t>
      </w:r>
      <w:r w:rsidRPr="003C7B44">
        <w:rPr>
          <w:rFonts w:ascii="Arial" w:hAnsi="Arial" w:cs="Arial"/>
          <w:noProof/>
          <w:sz w:val="24"/>
          <w:lang w:val="en-US" w:eastAsia="en-US"/>
        </w:rPr>
        <w:tab/>
        <w:t xml:space="preserve">Cattell RB. The Concept of Social Status. J Soc Psychol. 1942 May;15(2):293–308.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9. </w:t>
      </w:r>
      <w:r w:rsidRPr="003C7B44">
        <w:rPr>
          <w:rFonts w:ascii="Arial" w:hAnsi="Arial" w:cs="Arial"/>
          <w:noProof/>
          <w:sz w:val="24"/>
          <w:lang w:val="en-US" w:eastAsia="en-US"/>
        </w:rPr>
        <w:tab/>
        <w:t xml:space="preserve">Bogin B, Hermanussen M, Scheffler C. As tall as my peers - similarity in body height between migrants and hosts. Anthropol Anzeiger. 2018 Jan 12;74(5):363–74.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10. </w:t>
      </w:r>
      <w:r w:rsidRPr="003C7B44">
        <w:rPr>
          <w:rFonts w:ascii="Arial" w:hAnsi="Arial" w:cs="Arial"/>
          <w:noProof/>
          <w:sz w:val="24"/>
          <w:lang w:val="en-US" w:eastAsia="en-US"/>
        </w:rPr>
        <w:tab/>
        <w:t>Huchard E, English S, Bell MB V, Thavarajah NK, Clutton</w:t>
      </w:r>
      <w:r w:rsidRPr="003C7B44">
        <w:rPr>
          <w:rFonts w:ascii="Cambria Math" w:hAnsi="Cambria Math" w:cs="Cambria Math"/>
          <w:noProof/>
          <w:sz w:val="24"/>
          <w:lang w:val="en-US" w:eastAsia="en-US"/>
        </w:rPr>
        <w:t>‐</w:t>
      </w:r>
      <w:r w:rsidRPr="003C7B44">
        <w:rPr>
          <w:rFonts w:ascii="Arial" w:hAnsi="Arial" w:cs="Arial"/>
          <w:noProof/>
          <w:sz w:val="24"/>
          <w:lang w:val="en-US" w:eastAsia="en-US"/>
        </w:rPr>
        <w:t xml:space="preserve">Brock TH. Competitive growth in a cooperative mammal. Nature. 2016;533(7604):532–4.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11. </w:t>
      </w:r>
      <w:r w:rsidRPr="003C7B44">
        <w:rPr>
          <w:rFonts w:ascii="Arial" w:hAnsi="Arial" w:cs="Arial"/>
          <w:noProof/>
          <w:sz w:val="24"/>
          <w:lang w:val="en-US" w:eastAsia="en-US"/>
        </w:rPr>
        <w:tab/>
        <w:t xml:space="preserve">Schell LM, Gallo M V, Ravenscroft J. Environmental influences on human growth and development: historical review and case study of contemporary influences. Ann Hum Biol. 2009;36(5):459–77.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12. </w:t>
      </w:r>
      <w:r w:rsidRPr="003C7B44">
        <w:rPr>
          <w:rFonts w:ascii="Arial" w:hAnsi="Arial" w:cs="Arial"/>
          <w:noProof/>
          <w:sz w:val="24"/>
          <w:lang w:val="en-US" w:eastAsia="en-US"/>
        </w:rPr>
        <w:tab/>
        <w:t>Hermanussen M, Bogin B, Scheffler C. The impact of social identity and social dominance on the regulation of human growth: A viewpoint. Acta Paediatr [Internet]. 2019 Sep 9;apa.14970. Available from: https://onlinelibrary.wiley.com/doi/abs/10.1111/apa.14970</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13. </w:t>
      </w:r>
      <w:r w:rsidRPr="003C7B44">
        <w:rPr>
          <w:rFonts w:ascii="Arial" w:hAnsi="Arial" w:cs="Arial"/>
          <w:noProof/>
          <w:sz w:val="24"/>
          <w:lang w:val="en-US" w:eastAsia="en-US"/>
        </w:rPr>
        <w:tab/>
        <w:t>Hermanussen M, Bogin B, Scheffler C. The regulation of human growth includes an understanding of competitive growth strategies and community effects on height. Am J Hum Biol [Internet]. 2020 May 31;32(3):1–2. Available from: https://onlinelibrary.wiley.com/doi/abs/10.1002/ajhb.23383</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14. </w:t>
      </w:r>
      <w:r w:rsidRPr="003C7B44">
        <w:rPr>
          <w:rFonts w:ascii="Arial" w:hAnsi="Arial" w:cs="Arial"/>
          <w:noProof/>
          <w:sz w:val="24"/>
          <w:lang w:val="en-US" w:eastAsia="en-US"/>
        </w:rPr>
        <w:tab/>
        <w:t xml:space="preserve">Tanner JM. Growth as a mirror of the condition of society: secular trends and class distinctions. Acta Paediatr Jpn. 1987 Feb;29(1):96–103.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15. </w:t>
      </w:r>
      <w:r w:rsidRPr="003C7B44">
        <w:rPr>
          <w:rFonts w:ascii="Arial" w:hAnsi="Arial" w:cs="Arial"/>
          <w:noProof/>
          <w:sz w:val="24"/>
          <w:lang w:val="en-US" w:eastAsia="en-US"/>
        </w:rPr>
        <w:tab/>
        <w:t xml:space="preserve">Lopez-Blanco M. Growth as a mirror of conditions of a developing society: the case of Venezuela. In: Hauspie R, Lindgren G, Falkner F, editors. Essays on Auxology. Welwyn Garden City, UK: Castlemead Publications; 1995. p. 312–21.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16. </w:t>
      </w:r>
      <w:r w:rsidRPr="003C7B44">
        <w:rPr>
          <w:rFonts w:ascii="Arial" w:hAnsi="Arial" w:cs="Arial"/>
          <w:noProof/>
          <w:sz w:val="24"/>
          <w:lang w:val="en-US" w:eastAsia="en-US"/>
        </w:rPr>
        <w:tab/>
        <w:t>Sikdar M. Human Growth: The Mirror of the Society [Internet]. New Delhi, India: B.R. Publishing Corporation; 2015 [cited 2015 Feb 12]. Available from: http://www.bagchee.com/books/BB91660/human-growth-the-mirror-of-the-society/</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17. </w:t>
      </w:r>
      <w:r w:rsidRPr="003C7B44">
        <w:rPr>
          <w:rFonts w:ascii="Arial" w:hAnsi="Arial" w:cs="Arial"/>
          <w:noProof/>
          <w:sz w:val="24"/>
          <w:lang w:val="en-US" w:eastAsia="en-US"/>
        </w:rPr>
        <w:tab/>
        <w:t xml:space="preserve">Bogin B, Hermanussen M, Blum WF, Aßmann C. Sex, sport, IGF-1 and the community effect in height hypothesis. Int J Environ Res Public Health. 2015;12(5):4816–32.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18. </w:t>
      </w:r>
      <w:r w:rsidRPr="003C7B44">
        <w:rPr>
          <w:rFonts w:ascii="Arial" w:hAnsi="Arial" w:cs="Arial"/>
          <w:noProof/>
          <w:sz w:val="24"/>
          <w:lang w:val="en-US" w:eastAsia="en-US"/>
        </w:rPr>
        <w:tab/>
        <w:t xml:space="preserve">Hermanussen M, Alt C, Staub K, Groth D. The impact of physical connectedness on body height in Swiss conscripts. Anthropol Anzeiger. 2014;4(June):313–327.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19. </w:t>
      </w:r>
      <w:r w:rsidRPr="003C7B44">
        <w:rPr>
          <w:rFonts w:ascii="Arial" w:hAnsi="Arial" w:cs="Arial"/>
          <w:noProof/>
          <w:sz w:val="24"/>
          <w:lang w:val="en-US" w:eastAsia="en-US"/>
        </w:rPr>
        <w:tab/>
        <w:t xml:space="preserve">Mauss M. The Gift: Forms and Functions of Exchange in Archaic Societies. 1967 repri. Cunnison I, Evans-Pritchard EE, editors. New York, NY: W. W. Norton; 1925.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20. </w:t>
      </w:r>
      <w:r w:rsidRPr="003C7B44">
        <w:rPr>
          <w:rFonts w:ascii="Arial" w:hAnsi="Arial" w:cs="Arial"/>
          <w:noProof/>
          <w:sz w:val="24"/>
          <w:lang w:val="en-US" w:eastAsia="en-US"/>
        </w:rPr>
        <w:tab/>
        <w:t xml:space="preserve">Komlos J. Anthropometric history: an overview of a quarter century of research. Anthropol Anz. 2009;67:341–56.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21. </w:t>
      </w:r>
      <w:r w:rsidRPr="003C7B44">
        <w:rPr>
          <w:rFonts w:ascii="Arial" w:hAnsi="Arial" w:cs="Arial"/>
          <w:noProof/>
          <w:sz w:val="24"/>
          <w:lang w:val="en-US" w:eastAsia="en-US"/>
        </w:rPr>
        <w:tab/>
        <w:t xml:space="preserve">Steckel RH. Social and Economic Effects on Growth. In: Cameron N, Bogin B, editors. Human Growth and Development, 2nd Edition. 2nd ed. Amsterdam: Academic Press; 2012. p. 225–44.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22. </w:t>
      </w:r>
      <w:r w:rsidRPr="003C7B44">
        <w:rPr>
          <w:rFonts w:ascii="Arial" w:hAnsi="Arial" w:cs="Arial"/>
          <w:noProof/>
          <w:sz w:val="24"/>
          <w:lang w:val="en-US" w:eastAsia="en-US"/>
        </w:rPr>
        <w:tab/>
        <w:t xml:space="preserve">Scheffler C, Hermanussen M, Bogin B, Liana DS, Taolin F, Cempaka PMVP, et al. Stunting is not a synonym of malnutrition. Eur J Clin Nutr. 2019 May 29;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23. </w:t>
      </w:r>
      <w:r w:rsidRPr="003C7B44">
        <w:rPr>
          <w:rFonts w:ascii="Arial" w:hAnsi="Arial" w:cs="Arial"/>
          <w:noProof/>
          <w:sz w:val="24"/>
          <w:lang w:val="en-US" w:eastAsia="en-US"/>
        </w:rPr>
        <w:tab/>
        <w:t>Solomons NW. Vision of Research on Human Linear Growth. Food Nutr Bull [Internet]. 2019 Dec 13;40(4):416–31. Available from: http://journals.sagepub.com/doi/10.1177/0379572119885475</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24. </w:t>
      </w:r>
      <w:r w:rsidRPr="003C7B44">
        <w:rPr>
          <w:rFonts w:ascii="Arial" w:hAnsi="Arial" w:cs="Arial"/>
          <w:noProof/>
          <w:sz w:val="24"/>
          <w:lang w:val="en-US" w:eastAsia="en-US"/>
        </w:rPr>
        <w:tab/>
        <w:t xml:space="preserve">Hermanussen M, Bogin B, Scheffler C. Stunting, starvation and refeeding: a review of forgotten 19th and early 20th century literature. Acta Paediatr. 2018 Jul;107(7):1166–76.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25. </w:t>
      </w:r>
      <w:r w:rsidRPr="003C7B44">
        <w:rPr>
          <w:rFonts w:ascii="Arial" w:hAnsi="Arial" w:cs="Arial"/>
          <w:noProof/>
          <w:sz w:val="24"/>
          <w:lang w:val="en-US" w:eastAsia="en-US"/>
        </w:rPr>
        <w:tab/>
        <w:t xml:space="preserve">Goudet SM, Bogin BA, Madise NJ, Griffiths PL. Nutritional interventions for preventing stunting in children (birth to 59 months) living in urban slums in low- and middle-income countries (LMIC). Cochrane database Syst Rev. 2019 Jun 17;6:CD011695.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26. </w:t>
      </w:r>
      <w:r w:rsidRPr="003C7B44">
        <w:rPr>
          <w:rFonts w:ascii="Arial" w:hAnsi="Arial" w:cs="Arial"/>
          <w:noProof/>
          <w:sz w:val="24"/>
          <w:lang w:val="en-US" w:eastAsia="en-US"/>
        </w:rPr>
        <w:tab/>
        <w:t>Dangour AD, Watson L, Cumming O, Boisson S, Che Y, Velleman Y, et al. Interventions to improve water quality and supply, sanitation and hygiene practices, and their effects on the nutritional status of children. Cochrane database Syst Rev [Internet]. 2013;(8):CD009382. Available from: http://www.ncbi.nlm.nih.gov/pubmed/23904195</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27. </w:t>
      </w:r>
      <w:r w:rsidRPr="003C7B44">
        <w:rPr>
          <w:rFonts w:ascii="Arial" w:hAnsi="Arial" w:cs="Arial"/>
          <w:noProof/>
          <w:sz w:val="24"/>
          <w:lang w:val="en-US" w:eastAsia="en-US"/>
        </w:rPr>
        <w:tab/>
        <w:t xml:space="preserve">Bogin B, Scheffler C, Hermanussen M. Global effects of income and income inequality on adult height and sexual dimorphism in height. Am J Hum Biol. 2017 Mar;29(2).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28. </w:t>
      </w:r>
      <w:r w:rsidRPr="003C7B44">
        <w:rPr>
          <w:rFonts w:ascii="Arial" w:hAnsi="Arial" w:cs="Arial"/>
          <w:noProof/>
          <w:sz w:val="24"/>
          <w:lang w:val="en-US" w:eastAsia="en-US"/>
        </w:rPr>
        <w:tab/>
        <w:t xml:space="preserve">Mumm R, Czernitzki A, Bents D, Musalck M. Socioeconomic situation and growth in infants and juveniles. Anthropol Anzeiger.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29. </w:t>
      </w:r>
      <w:r w:rsidRPr="003C7B44">
        <w:rPr>
          <w:rFonts w:ascii="Arial" w:hAnsi="Arial" w:cs="Arial"/>
          <w:noProof/>
          <w:sz w:val="24"/>
          <w:lang w:val="en-US" w:eastAsia="en-US"/>
        </w:rPr>
        <w:tab/>
        <w:t xml:space="preserve">Baten J, Blum M. Growing Tall but Unequal: New Findings and New Background Evidence on Anthropometric Welfare in 156 Countries, 1810–1989. Econ Hist Dev Reg. 2012;27(sup1):S66–85.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30. </w:t>
      </w:r>
      <w:r w:rsidRPr="003C7B44">
        <w:rPr>
          <w:rFonts w:ascii="Arial" w:hAnsi="Arial" w:cs="Arial"/>
          <w:noProof/>
          <w:sz w:val="24"/>
          <w:lang w:val="en-US" w:eastAsia="en-US"/>
        </w:rPr>
        <w:tab/>
        <w:t xml:space="preserve">Marmot M, Bell R. Fair society, healthy lives. Public Health. 2012 Sep;126 Suppl:S4--10.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31. </w:t>
      </w:r>
      <w:r w:rsidRPr="003C7B44">
        <w:rPr>
          <w:rFonts w:ascii="Arial" w:hAnsi="Arial" w:cs="Arial"/>
          <w:noProof/>
          <w:sz w:val="24"/>
          <w:lang w:val="en-US" w:eastAsia="en-US"/>
        </w:rPr>
        <w:tab/>
        <w:t xml:space="preserve">Sen A. Why health equity? Health Econ. 2002 Dec;11(8):659–66.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32. </w:t>
      </w:r>
      <w:r w:rsidRPr="003C7B44">
        <w:rPr>
          <w:rFonts w:ascii="Arial" w:hAnsi="Arial" w:cs="Arial"/>
          <w:noProof/>
          <w:sz w:val="24"/>
          <w:lang w:val="en-US" w:eastAsia="en-US"/>
        </w:rPr>
        <w:tab/>
        <w:t xml:space="preserve">Wilkinson RG, Pickett KE. The Spirit Level: Why More Equal Societies Almost Always Do Better. London: Allen Lane; 2009.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33. </w:t>
      </w:r>
      <w:r w:rsidRPr="003C7B44">
        <w:rPr>
          <w:rFonts w:ascii="Arial" w:hAnsi="Arial" w:cs="Arial"/>
          <w:noProof/>
          <w:sz w:val="24"/>
          <w:lang w:val="en-US" w:eastAsia="en-US"/>
        </w:rPr>
        <w:tab/>
        <w:t xml:space="preserve">Heaney S. Beowulf. New York, NY: W.W. Norton &amp; Company; 2000.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34. </w:t>
      </w:r>
      <w:r w:rsidRPr="003C7B44">
        <w:rPr>
          <w:rFonts w:ascii="Arial" w:hAnsi="Arial" w:cs="Arial"/>
          <w:noProof/>
          <w:sz w:val="24"/>
          <w:lang w:val="en-US" w:eastAsia="en-US"/>
        </w:rPr>
        <w:tab/>
        <w:t>Von Rueden C, Gurven M, Kaplan H. The multiple dimensions of male social status in an Amazonian society</w:t>
      </w:r>
      <w:r w:rsidRPr="003C7B44">
        <w:rPr>
          <w:rFonts w:ascii="Segoe UI Symbol" w:hAnsi="Segoe UI Symbol" w:cs="Segoe UI Symbol"/>
          <w:noProof/>
          <w:sz w:val="24"/>
          <w:lang w:val="en-US" w:eastAsia="en-US"/>
        </w:rPr>
        <w:t>☆</w:t>
      </w:r>
      <w:r w:rsidRPr="003C7B44">
        <w:rPr>
          <w:rFonts w:ascii="Arial" w:hAnsi="Arial" w:cs="Arial"/>
          <w:noProof/>
          <w:sz w:val="24"/>
          <w:lang w:val="en-US" w:eastAsia="en-US"/>
        </w:rPr>
        <w:t>. Evol Hum Behav [Internet]. 2008 Nov;29(6):402–15. Available from: https://linkinghub.elsevier.com/retrieve/pii/S1090513808000512</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35. </w:t>
      </w:r>
      <w:r w:rsidRPr="003C7B44">
        <w:rPr>
          <w:rFonts w:ascii="Arial" w:hAnsi="Arial" w:cs="Arial"/>
          <w:noProof/>
          <w:sz w:val="24"/>
          <w:lang w:val="en-US" w:eastAsia="en-US"/>
        </w:rPr>
        <w:tab/>
        <w:t xml:space="preserve">Stulp G, Buunk AP, Verhulst S, Pollet T V. Human height is positively related to interpersonal dominance in dyadic interactions. PLoS One. 2015;10(2):e0117860.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36. </w:t>
      </w:r>
      <w:r w:rsidRPr="003C7B44">
        <w:rPr>
          <w:rFonts w:ascii="Arial" w:hAnsi="Arial" w:cs="Arial"/>
          <w:noProof/>
          <w:sz w:val="24"/>
          <w:lang w:val="en-US" w:eastAsia="en-US"/>
        </w:rPr>
        <w:tab/>
        <w:t xml:space="preserve">Stulp G, Buunk AP, Verhulst S, Pollet T V. Tall claims? Sense and nonsense about the importance of height of US presidents. Leadersh Q. 2013 Feb;24(1):159–71.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37. </w:t>
      </w:r>
      <w:r w:rsidRPr="003C7B44">
        <w:rPr>
          <w:rFonts w:ascii="Arial" w:hAnsi="Arial" w:cs="Arial"/>
          <w:noProof/>
          <w:sz w:val="24"/>
          <w:lang w:val="en-US" w:eastAsia="en-US"/>
        </w:rPr>
        <w:tab/>
        <w:t>Rogol AD. Emotional Deprivation in Children: Growth Faltering and Reversible Hypopituitarism. Front Endocrinol (Lausanne) [Internet]. 2020 Oct 7;11. Available from: https://www.frontiersin.org/article/10.3389/fendo.2020.596144/full</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38. </w:t>
      </w:r>
      <w:r w:rsidRPr="003C7B44">
        <w:rPr>
          <w:rFonts w:ascii="Arial" w:hAnsi="Arial" w:cs="Arial"/>
          <w:noProof/>
          <w:sz w:val="24"/>
          <w:lang w:val="en-US" w:eastAsia="en-US"/>
        </w:rPr>
        <w:tab/>
        <w:t xml:space="preserve">Peiper A. Chronik Der Kinderheilkunde ( Chronicle of Pediatrics). Leipzig, Germany: Veb Georg Thieme; 1955.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39. </w:t>
      </w:r>
      <w:r w:rsidRPr="003C7B44">
        <w:rPr>
          <w:rFonts w:ascii="Arial" w:hAnsi="Arial" w:cs="Arial"/>
          <w:noProof/>
          <w:sz w:val="24"/>
          <w:lang w:val="en-US" w:eastAsia="en-US"/>
        </w:rPr>
        <w:tab/>
        <w:t xml:space="preserve">Harlow HF, Zimmermann RR. Affectional responses in the infant monkey; orphaned baby monkeys develop a strong and persistent attachment to inanimate surrogate mothers. Science. 1959 Aug 21;130(3373):421–32.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40. </w:t>
      </w:r>
      <w:r w:rsidRPr="003C7B44">
        <w:rPr>
          <w:rFonts w:ascii="Arial" w:hAnsi="Arial" w:cs="Arial"/>
          <w:noProof/>
          <w:sz w:val="24"/>
          <w:lang w:val="en-US" w:eastAsia="en-US"/>
        </w:rPr>
        <w:tab/>
        <w:t xml:space="preserve">Meyer JS, Novak MA, Bowman RE, Harlow HF. Behavioral and hormonal effects of attachment object separation in surrogate-peer-reared and mother-reared infant rhesus monkeys. Dev Psychobiol. 1975 Sep;8(5):425–35.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41. </w:t>
      </w:r>
      <w:r w:rsidRPr="003C7B44">
        <w:rPr>
          <w:rFonts w:ascii="Arial" w:hAnsi="Arial" w:cs="Arial"/>
          <w:noProof/>
          <w:sz w:val="24"/>
          <w:lang w:val="en-US" w:eastAsia="en-US"/>
        </w:rPr>
        <w:tab/>
        <w:t xml:space="preserve">Spitz RA. Hospitalism; an inquiry into the genesis of psychiatric conditions in early childhood. Psychoanal Study Child. 1945;1:53–74.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42. </w:t>
      </w:r>
      <w:r w:rsidRPr="003C7B44">
        <w:rPr>
          <w:rFonts w:ascii="Arial" w:hAnsi="Arial" w:cs="Arial"/>
          <w:noProof/>
          <w:sz w:val="24"/>
          <w:lang w:val="en-US" w:eastAsia="en-US"/>
        </w:rPr>
        <w:tab/>
        <w:t xml:space="preserve">Field TM. Stimulation of preterm infants. Pediatr Rev. 1988 Nov;10(5):149–53.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eastAsia="en-US"/>
        </w:rPr>
      </w:pPr>
      <w:r w:rsidRPr="003C7B44">
        <w:rPr>
          <w:rFonts w:ascii="Arial" w:hAnsi="Arial" w:cs="Arial"/>
          <w:noProof/>
          <w:sz w:val="24"/>
          <w:lang w:val="en-US" w:eastAsia="en-US"/>
        </w:rPr>
        <w:t xml:space="preserve">43. </w:t>
      </w:r>
      <w:r w:rsidRPr="003C7B44">
        <w:rPr>
          <w:rFonts w:ascii="Arial" w:hAnsi="Arial" w:cs="Arial"/>
          <w:noProof/>
          <w:sz w:val="24"/>
          <w:lang w:val="en-US" w:eastAsia="en-US"/>
        </w:rPr>
        <w:tab/>
        <w:t xml:space="preserve">Field TM. The amazing infant. </w:t>
      </w:r>
      <w:r w:rsidRPr="003C7B44">
        <w:rPr>
          <w:rFonts w:ascii="Arial" w:hAnsi="Arial" w:cs="Arial"/>
          <w:noProof/>
          <w:sz w:val="24"/>
          <w:lang w:eastAsia="en-US"/>
        </w:rPr>
        <w:t xml:space="preserve">Oxford: Blackwell Publishing Ltd; 2007.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eastAsia="en-US"/>
        </w:rPr>
      </w:pPr>
      <w:r w:rsidRPr="003C7B44">
        <w:rPr>
          <w:rFonts w:ascii="Arial" w:hAnsi="Arial" w:cs="Arial"/>
          <w:noProof/>
          <w:sz w:val="24"/>
          <w:lang w:eastAsia="en-US"/>
        </w:rPr>
        <w:t xml:space="preserve">44. </w:t>
      </w:r>
      <w:r w:rsidRPr="003C7B44">
        <w:rPr>
          <w:rFonts w:ascii="Arial" w:hAnsi="Arial" w:cs="Arial"/>
          <w:noProof/>
          <w:sz w:val="24"/>
          <w:lang w:eastAsia="en-US"/>
        </w:rPr>
        <w:tab/>
        <w:t xml:space="preserve">Schlesinger E. Das Wachstum des Kindes. Ergeb Inn Med Kinderheilkd. 1925;28:456–579.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eastAsia="en-US"/>
        </w:rPr>
        <w:t xml:space="preserve">45. </w:t>
      </w:r>
      <w:r w:rsidRPr="003C7B44">
        <w:rPr>
          <w:rFonts w:ascii="Arial" w:hAnsi="Arial" w:cs="Arial"/>
          <w:noProof/>
          <w:sz w:val="24"/>
          <w:lang w:eastAsia="en-US"/>
        </w:rPr>
        <w:tab/>
        <w:t xml:space="preserve">Tanner JM. </w:t>
      </w:r>
      <w:r w:rsidRPr="003C7B44">
        <w:rPr>
          <w:rFonts w:ascii="Arial" w:hAnsi="Arial" w:cs="Arial"/>
          <w:noProof/>
          <w:sz w:val="24"/>
          <w:lang w:val="en-US" w:eastAsia="en-US"/>
        </w:rPr>
        <w:t xml:space="preserve">Growth at Adolescence. Second edi. Oxford: Blackwell Scientific Publications; 1962.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46. </w:t>
      </w:r>
      <w:r w:rsidRPr="003C7B44">
        <w:rPr>
          <w:rFonts w:ascii="Arial" w:hAnsi="Arial" w:cs="Arial"/>
          <w:noProof/>
          <w:sz w:val="24"/>
          <w:lang w:val="en-US" w:eastAsia="en-US"/>
        </w:rPr>
        <w:tab/>
        <w:t xml:space="preserve">Bogin B. Patterns of Human Growth. 2nd ed. Cambridge: Cambridge University Press; 1999.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47. </w:t>
      </w:r>
      <w:r w:rsidRPr="003C7B44">
        <w:rPr>
          <w:rFonts w:ascii="Arial" w:hAnsi="Arial" w:cs="Arial"/>
          <w:noProof/>
          <w:sz w:val="24"/>
          <w:lang w:val="en-US" w:eastAsia="en-US"/>
        </w:rPr>
        <w:tab/>
        <w:t xml:space="preserve">Thompson DW. On Growth and Form. Cambridge: Cambridge University Press; 1917.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48. </w:t>
      </w:r>
      <w:r w:rsidRPr="003C7B44">
        <w:rPr>
          <w:rFonts w:ascii="Arial" w:hAnsi="Arial" w:cs="Arial"/>
          <w:noProof/>
          <w:sz w:val="24"/>
          <w:lang w:val="en-US" w:eastAsia="en-US"/>
        </w:rPr>
        <w:tab/>
        <w:t xml:space="preserve">Thompson DW. On Growth and Form, revised edition. Cambridge: Cambridge University Press; 1942.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49. </w:t>
      </w:r>
      <w:r w:rsidRPr="003C7B44">
        <w:rPr>
          <w:rFonts w:ascii="Arial" w:hAnsi="Arial" w:cs="Arial"/>
          <w:noProof/>
          <w:sz w:val="24"/>
          <w:lang w:val="en-US" w:eastAsia="en-US"/>
        </w:rPr>
        <w:tab/>
        <w:t xml:space="preserve">Huxley J. Problems of relative growth. London: Methuen and Co., Ltd.; 1932.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50. </w:t>
      </w:r>
      <w:r w:rsidRPr="003C7B44">
        <w:rPr>
          <w:rFonts w:ascii="Arial" w:hAnsi="Arial" w:cs="Arial"/>
          <w:noProof/>
          <w:sz w:val="24"/>
          <w:lang w:val="en-US" w:eastAsia="en-US"/>
        </w:rPr>
        <w:tab/>
        <w:t xml:space="preserve">Ruff CB. Morphological adaptation to climate in modern and fossil hominids. Yearb Phys Anthropol. 1994;35:65–107.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51. </w:t>
      </w:r>
      <w:r w:rsidRPr="003C7B44">
        <w:rPr>
          <w:rFonts w:ascii="Arial" w:hAnsi="Arial" w:cs="Arial"/>
          <w:noProof/>
          <w:sz w:val="24"/>
          <w:lang w:val="en-US" w:eastAsia="en-US"/>
        </w:rPr>
        <w:tab/>
        <w:t xml:space="preserve">Ruff C. Variation in human body size and shape. Annu Rev Anthropol. 2002;31:211–32.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52. </w:t>
      </w:r>
      <w:r w:rsidRPr="003C7B44">
        <w:rPr>
          <w:rFonts w:ascii="Arial" w:hAnsi="Arial" w:cs="Arial"/>
          <w:noProof/>
          <w:sz w:val="24"/>
          <w:lang w:val="en-US" w:eastAsia="en-US"/>
        </w:rPr>
        <w:tab/>
        <w:t>Takahashi E. Secular trend of female body shape in Japan. Hum Biol [Internet]. 1986 Apr;58(2):293–301. Available from: http://www.ncbi.nlm.nih.gov/pubmed/3710468</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53. </w:t>
      </w:r>
      <w:r w:rsidRPr="003C7B44">
        <w:rPr>
          <w:rFonts w:ascii="Arial" w:hAnsi="Arial" w:cs="Arial"/>
          <w:noProof/>
          <w:sz w:val="24"/>
          <w:lang w:val="en-US" w:eastAsia="en-US"/>
        </w:rPr>
        <w:tab/>
        <w:t>Froehlich JW. Migration and the plasticity of physique in the Japanese-Americans of Hawaii. Am J Phys Anthropol [Internet]. 1970 May;32(3):429–42. Available from: http://doi.wiley.com/10.1002/ajpa.1330320313</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54. </w:t>
      </w:r>
      <w:r w:rsidRPr="003C7B44">
        <w:rPr>
          <w:rFonts w:ascii="Arial" w:hAnsi="Arial" w:cs="Arial"/>
          <w:noProof/>
          <w:sz w:val="24"/>
          <w:lang w:val="en-US" w:eastAsia="en-US"/>
        </w:rPr>
        <w:tab/>
        <w:t xml:space="preserve">Vercauteren M, Hauspie RC, Susanne C. Biometry of Belgian boys and girls: changes since Quetelet. In: Bodzar BE, Susanne C, editors. Secular growth changes in Europe. Budapest: Eotvos University Press; 1998. p. 47–63.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55. </w:t>
      </w:r>
      <w:r w:rsidRPr="003C7B44">
        <w:rPr>
          <w:rFonts w:ascii="Arial" w:hAnsi="Arial" w:cs="Arial"/>
          <w:noProof/>
          <w:sz w:val="24"/>
          <w:lang w:val="en-US" w:eastAsia="en-US"/>
        </w:rPr>
        <w:tab/>
        <w:t xml:space="preserve">Bowles G. New Types of Old Americans at Harvard and at Eastern Woemn’s Colleges. Cambridge, MA: Harvard University Press.; 1932.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56. </w:t>
      </w:r>
      <w:r w:rsidRPr="003C7B44">
        <w:rPr>
          <w:rFonts w:ascii="Arial" w:hAnsi="Arial" w:cs="Arial"/>
          <w:noProof/>
          <w:sz w:val="24"/>
          <w:lang w:val="en-US" w:eastAsia="en-US"/>
        </w:rPr>
        <w:tab/>
        <w:t xml:space="preserve">Veit HZ. Modern Food, Moral Food: Self-Control, Science, and the Rise of Modern American Eating in the Early Twentieth Century. Chapel Hill: University of North Carolina Press; 2013.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57. </w:t>
      </w:r>
      <w:r w:rsidRPr="003C7B44">
        <w:rPr>
          <w:rFonts w:ascii="Arial" w:hAnsi="Arial" w:cs="Arial"/>
          <w:noProof/>
          <w:sz w:val="24"/>
          <w:lang w:val="en-US" w:eastAsia="en-US"/>
        </w:rPr>
        <w:tab/>
        <w:t>Rietsch K, Eccard JA, Scheffler C. Decreased external skeletal robustness due to reduced physical activity? Am J Hum Biol [Internet]. 2013;25(3):404–10. Available from: http://www.ncbi.nlm.nih.gov/pubmed/23606229</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58. </w:t>
      </w:r>
      <w:r w:rsidRPr="003C7B44">
        <w:rPr>
          <w:rFonts w:ascii="Arial" w:hAnsi="Arial" w:cs="Arial"/>
          <w:noProof/>
          <w:sz w:val="24"/>
          <w:lang w:val="en-US" w:eastAsia="en-US"/>
        </w:rPr>
        <w:tab/>
        <w:t xml:space="preserve">Scheffler C, Hermanussen M. Is there an influence of modern life style on skeletal build? Am J Hum Biol. 2014;26:590–597.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59. </w:t>
      </w:r>
      <w:r w:rsidRPr="003C7B44">
        <w:rPr>
          <w:rFonts w:ascii="Arial" w:hAnsi="Arial" w:cs="Arial"/>
          <w:noProof/>
          <w:sz w:val="24"/>
          <w:lang w:val="en-US" w:eastAsia="en-US"/>
        </w:rPr>
        <w:tab/>
        <w:t xml:space="preserve">Barch DM, Shirtcliff EA, Elsayed NM, Whalen D, Gilbert K, Vogel AC, et al. Testosterone and hippocampal trajectories mediate relationship of poverty to emotion dysregulation and depression. Proc Natl Acad Sci. 2020 Sep 8;117(36):22015–23.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60. </w:t>
      </w:r>
      <w:r w:rsidRPr="003C7B44">
        <w:rPr>
          <w:rFonts w:ascii="Arial" w:hAnsi="Arial" w:cs="Arial"/>
          <w:noProof/>
          <w:sz w:val="24"/>
          <w:lang w:val="en-US" w:eastAsia="en-US"/>
        </w:rPr>
        <w:tab/>
        <w:t xml:space="preserve">Maggioncalda AN, Czekala NM, Sapolsky RM. Male orangutan subadulthood: A new twist on the relationship between chronic stress and developmental arrest. Am J Phys Anthropol. 2002;118(September 2000):25–32.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61. </w:t>
      </w:r>
      <w:r w:rsidRPr="003C7B44">
        <w:rPr>
          <w:rFonts w:ascii="Arial" w:hAnsi="Arial" w:cs="Arial"/>
          <w:noProof/>
          <w:sz w:val="24"/>
          <w:lang w:val="en-US" w:eastAsia="en-US"/>
        </w:rPr>
        <w:tab/>
        <w:t xml:space="preserve">Maggioncalda AN, Czekala NM, Sapolsky RM. Growth hormone and thyroid stimulating hormone concentrations in captive male orangutans: Implications for understanding developmental arrest. Am J Primatol. 2000;50(May 1999):67–76.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62. </w:t>
      </w:r>
      <w:r w:rsidRPr="003C7B44">
        <w:rPr>
          <w:rFonts w:ascii="Arial" w:hAnsi="Arial" w:cs="Arial"/>
          <w:noProof/>
          <w:sz w:val="24"/>
          <w:lang w:val="en-US" w:eastAsia="en-US"/>
        </w:rPr>
        <w:tab/>
        <w:t xml:space="preserve">Ponzi D, Zilioli S, Mehta PH, Maslov A, Watson N V. Social network centrality and hormones: The interaction of testosterone and cortisol. Psychoneuroendocrinology. 2016;68:6–13.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63. </w:t>
      </w:r>
      <w:r w:rsidRPr="003C7B44">
        <w:rPr>
          <w:rFonts w:ascii="Arial" w:hAnsi="Arial" w:cs="Arial"/>
          <w:noProof/>
          <w:sz w:val="24"/>
          <w:lang w:val="en-US" w:eastAsia="en-US"/>
        </w:rPr>
        <w:tab/>
        <w:t xml:space="preserve">Sapolsky RM, Spencer EM. Insulin-like growth factor I is suppressed in socially subordinate male baboons. Am J Physiol. 1997;273:R1346–51.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64. </w:t>
      </w:r>
      <w:r w:rsidRPr="003C7B44">
        <w:rPr>
          <w:rFonts w:ascii="Arial" w:hAnsi="Arial" w:cs="Arial"/>
          <w:noProof/>
          <w:sz w:val="24"/>
          <w:lang w:val="en-US" w:eastAsia="en-US"/>
        </w:rPr>
        <w:tab/>
        <w:t xml:space="preserve">Sapolsky RM. The influence of social hierarchy on primate health. Science. 2005;308(2005):648–52.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65. </w:t>
      </w:r>
      <w:r w:rsidRPr="003C7B44">
        <w:rPr>
          <w:rFonts w:ascii="Arial" w:hAnsi="Arial" w:cs="Arial"/>
          <w:noProof/>
          <w:sz w:val="24"/>
          <w:lang w:val="en-US" w:eastAsia="en-US"/>
        </w:rPr>
        <w:tab/>
        <w:t xml:space="preserve">Saxton RA, Sabatini DM. mTOR Signaling in Growth, Metabolism, and Disease. Cell. 2017;168(6):960–76.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s-ES_tradnl" w:eastAsia="en-US"/>
        </w:rPr>
        <w:t xml:space="preserve">66. </w:t>
      </w:r>
      <w:r w:rsidRPr="003C7B44">
        <w:rPr>
          <w:rFonts w:ascii="Arial" w:hAnsi="Arial" w:cs="Arial"/>
          <w:noProof/>
          <w:sz w:val="24"/>
          <w:lang w:val="es-ES_tradnl" w:eastAsia="en-US"/>
        </w:rPr>
        <w:tab/>
        <w:t xml:space="preserve">Cavalli-Sforza LL, Feldman MW. </w:t>
      </w:r>
      <w:r w:rsidRPr="003C7B44">
        <w:rPr>
          <w:rFonts w:ascii="Arial" w:hAnsi="Arial" w:cs="Arial"/>
          <w:noProof/>
          <w:sz w:val="24"/>
          <w:lang w:val="en-US" w:eastAsia="en-US"/>
        </w:rPr>
        <w:t xml:space="preserve">Cultural versus biological inheritance: phenotypic transmission from parents to children. (A theory of the effect of parental phenotypes on children’s phenotypes). Am J Hum Genet. 1973 Nov;25(6):618–37.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67. </w:t>
      </w:r>
      <w:r w:rsidRPr="003C7B44">
        <w:rPr>
          <w:rFonts w:ascii="Arial" w:hAnsi="Arial" w:cs="Arial"/>
          <w:noProof/>
          <w:sz w:val="24"/>
          <w:lang w:val="en-US" w:eastAsia="en-US"/>
        </w:rPr>
        <w:tab/>
        <w:t xml:space="preserve">Feldman MW, Ramachandran S. Missing compared to what? Revisiting heritability, genes and culture. Philos Trans R Soc Lond B Biol Sci. 2018;373(1743).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68. </w:t>
      </w:r>
      <w:r w:rsidRPr="003C7B44">
        <w:rPr>
          <w:rFonts w:ascii="Arial" w:hAnsi="Arial" w:cs="Arial"/>
          <w:noProof/>
          <w:sz w:val="24"/>
          <w:lang w:val="en-US" w:eastAsia="en-US"/>
        </w:rPr>
        <w:tab/>
        <w:t xml:space="preserve">Setchell JM. Sexual selection and the differences between the sexes in Mandrills (Mandrillus sphinx). Am J Phys Anthropol. 2016 Jan;159(Suppl 61):S105-29.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69. </w:t>
      </w:r>
      <w:r w:rsidRPr="003C7B44">
        <w:rPr>
          <w:rFonts w:ascii="Arial" w:hAnsi="Arial" w:cs="Arial"/>
          <w:noProof/>
          <w:sz w:val="24"/>
          <w:lang w:val="en-US" w:eastAsia="en-US"/>
        </w:rPr>
        <w:tab/>
        <w:t xml:space="preserve">Emery Thompson M, Zhou A, Knott CD. Low Testosterone Correlates with Delayed Development in Male Orangutans. Deschner T, editor. PLoS One. 2012 Oct 15;7(10):e47282.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70. </w:t>
      </w:r>
      <w:r w:rsidRPr="003C7B44">
        <w:rPr>
          <w:rFonts w:ascii="Arial" w:hAnsi="Arial" w:cs="Arial"/>
          <w:noProof/>
          <w:sz w:val="24"/>
          <w:lang w:val="en-US" w:eastAsia="en-US"/>
        </w:rPr>
        <w:tab/>
        <w:t xml:space="preserve">Young AJ, Bennett NC. Morphological divergence of breeders and helpers in wild damaraland mole-rat societies. Evolution (N Y). 2010 Nov;64(11):3190–7.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71. </w:t>
      </w:r>
      <w:r w:rsidRPr="003C7B44">
        <w:rPr>
          <w:rFonts w:ascii="Arial" w:hAnsi="Arial" w:cs="Arial"/>
          <w:noProof/>
          <w:sz w:val="24"/>
          <w:lang w:val="en-US" w:eastAsia="en-US"/>
        </w:rPr>
        <w:tab/>
        <w:t>Dubuc C, Clutton</w:t>
      </w:r>
      <w:r w:rsidRPr="003C7B44">
        <w:rPr>
          <w:rFonts w:ascii="Cambria Math" w:hAnsi="Cambria Math" w:cs="Cambria Math"/>
          <w:noProof/>
          <w:sz w:val="24"/>
          <w:lang w:val="en-US" w:eastAsia="en-US"/>
        </w:rPr>
        <w:t>‐</w:t>
      </w:r>
      <w:r w:rsidRPr="003C7B44">
        <w:rPr>
          <w:rFonts w:ascii="Arial" w:hAnsi="Arial" w:cs="Arial"/>
          <w:noProof/>
          <w:sz w:val="24"/>
          <w:lang w:val="en-US" w:eastAsia="en-US"/>
        </w:rPr>
        <w:t xml:space="preserve">Brock TH. Male immigration triggers increased growth in subordinate female meerkats. Ecol Evol. 2019 Feb 27;9(3):1127–34.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72. </w:t>
      </w:r>
      <w:r w:rsidRPr="003C7B44">
        <w:rPr>
          <w:rFonts w:ascii="Arial" w:hAnsi="Arial" w:cs="Arial"/>
          <w:noProof/>
          <w:sz w:val="24"/>
          <w:lang w:val="en-US" w:eastAsia="en-US"/>
        </w:rPr>
        <w:tab/>
        <w:t>Russell AF, Carlson AA, McIlrath GM, Jordan NR, Clutton-Brock T. Adaptive size modification by dominant female meerkats. Evolution (N Y) [Internet]. 2004 Jul;58(7):1600–7. Available from: http://doi.wiley.com/10.1111/j.0014-3820.2004.tb01739.x</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73. </w:t>
      </w:r>
      <w:r w:rsidRPr="003C7B44">
        <w:rPr>
          <w:rFonts w:ascii="Arial" w:hAnsi="Arial" w:cs="Arial"/>
          <w:noProof/>
          <w:sz w:val="24"/>
          <w:lang w:val="en-US" w:eastAsia="en-US"/>
        </w:rPr>
        <w:tab/>
        <w:t xml:space="preserve">Clutton-Brock TH. Mammal Societies. Hoboken, NJ: Wiley-Blackwel; 2016. 760 p.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74. </w:t>
      </w:r>
      <w:r w:rsidRPr="003C7B44">
        <w:rPr>
          <w:rFonts w:ascii="Arial" w:hAnsi="Arial" w:cs="Arial"/>
          <w:noProof/>
          <w:sz w:val="24"/>
          <w:lang w:val="en-US" w:eastAsia="en-US"/>
        </w:rPr>
        <w:tab/>
        <w:t>Koziel S, Zaręba M, Bielicki T, Scheffler C, Hermanussen M. Social mobility of the father influences child growth: A three</w:t>
      </w:r>
      <w:r w:rsidRPr="003C7B44">
        <w:rPr>
          <w:rFonts w:ascii="Cambria Math" w:hAnsi="Cambria Math" w:cs="Cambria Math"/>
          <w:noProof/>
          <w:sz w:val="24"/>
          <w:lang w:val="en-US" w:eastAsia="en-US"/>
        </w:rPr>
        <w:t>‐</w:t>
      </w:r>
      <w:r w:rsidRPr="003C7B44">
        <w:rPr>
          <w:rFonts w:ascii="Arial" w:hAnsi="Arial" w:cs="Arial"/>
          <w:noProof/>
          <w:sz w:val="24"/>
          <w:lang w:val="en-US" w:eastAsia="en-US"/>
        </w:rPr>
        <w:t>generation study. Am J Hum Biol [Internet]. 2019 Jun 13;e23270. Available from: https://onlinelibrary.wiley.com/doi/abs/10.1002/ajhb.23270</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75. </w:t>
      </w:r>
      <w:r w:rsidRPr="003C7B44">
        <w:rPr>
          <w:rFonts w:ascii="Arial" w:hAnsi="Arial" w:cs="Arial"/>
          <w:noProof/>
          <w:sz w:val="24"/>
          <w:lang w:val="en-US" w:eastAsia="en-US"/>
        </w:rPr>
        <w:tab/>
        <w:t xml:space="preserve">Stulp G, Buunk AP, Verhulst S, Pollet T V. High and mighty: height increases authority in professional refereeing. Evol Psychol. 2012 Aug 24;10(3):588–601.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76. </w:t>
      </w:r>
      <w:r w:rsidRPr="003C7B44">
        <w:rPr>
          <w:rFonts w:ascii="Arial" w:hAnsi="Arial" w:cs="Arial"/>
          <w:noProof/>
          <w:sz w:val="24"/>
          <w:lang w:val="en-US" w:eastAsia="en-US"/>
        </w:rPr>
        <w:tab/>
        <w:t>Martire LM, Franks MM. The role of social networks in adult health: introduction to the special issue. Health Psychol [Internet]. 2014;33(6):501–4. Available from: http://www.ncbi.nlm.nih.gov/pubmed/24884903</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77. </w:t>
      </w:r>
      <w:r w:rsidRPr="003C7B44">
        <w:rPr>
          <w:rFonts w:ascii="Arial" w:hAnsi="Arial" w:cs="Arial"/>
          <w:noProof/>
          <w:sz w:val="24"/>
          <w:lang w:val="en-US" w:eastAsia="en-US"/>
        </w:rPr>
        <w:tab/>
        <w:t>Christakis N a, Fowler JH. The spread of obesity in a large social network over 32 years. N Engl J Med [Internet]. 2007;357(4):370–9. Available from: http://www.ncbi.nlm.nih.gov/pubmed/17652652</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78. </w:t>
      </w:r>
      <w:r w:rsidRPr="003C7B44">
        <w:rPr>
          <w:rFonts w:ascii="Arial" w:hAnsi="Arial" w:cs="Arial"/>
          <w:noProof/>
          <w:sz w:val="24"/>
          <w:lang w:val="en-US" w:eastAsia="en-US"/>
        </w:rPr>
        <w:tab/>
        <w:t>Koehly LM, Loscalzo A. Adolescent obesity and social networks. Prev Chronic Dis [Internet]. 2009;6(3):A99. Available from: http://www.cdc.gov/pcd/issues/2009/jul/08_0265.htm</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79. </w:t>
      </w:r>
      <w:r w:rsidRPr="003C7B44">
        <w:rPr>
          <w:rFonts w:ascii="Arial" w:hAnsi="Arial" w:cs="Arial"/>
          <w:noProof/>
          <w:sz w:val="24"/>
          <w:lang w:val="en-US" w:eastAsia="en-US"/>
        </w:rPr>
        <w:tab/>
        <w:t xml:space="preserve">Hermanussen M, Aßmann C, Staub K, Groth D. Monte Carlo simulation of body height in a spatial network. Eur J Clin Nutr. 2016;70(6):671–8.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80. </w:t>
      </w:r>
      <w:r w:rsidRPr="003C7B44">
        <w:rPr>
          <w:rFonts w:ascii="Arial" w:hAnsi="Arial" w:cs="Arial"/>
          <w:noProof/>
          <w:sz w:val="24"/>
          <w:lang w:val="en-US" w:eastAsia="en-US"/>
        </w:rPr>
        <w:tab/>
        <w:t>Bents D, Rybak A, Groth D. Spatial conscript body height correlation of Norwegian districts in the 19th century. Anthropol Anzeiger [Internet]. 2017 Apr 1;74(1):65–9. Available from: http://www.ncbi.nlm.nih.gov/pubmed/28375426</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81. </w:t>
      </w:r>
      <w:r w:rsidRPr="003C7B44">
        <w:rPr>
          <w:rFonts w:ascii="Arial" w:hAnsi="Arial" w:cs="Arial"/>
          <w:noProof/>
          <w:sz w:val="24"/>
          <w:lang w:val="en-US" w:eastAsia="en-US"/>
        </w:rPr>
        <w:tab/>
        <w:t>Gomula A, Koziel S, Groth D, Bielicki T. The effect of neighboring districts on body height of Polish conscripts. Anthropol Anzeiger [Internet]. 2017 Apr 1;74(1):71–6. Available from: http://www.ncbi.nlm.nih.gov/pubmed/28362025</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82. </w:t>
      </w:r>
      <w:r w:rsidRPr="003C7B44">
        <w:rPr>
          <w:rFonts w:ascii="Arial" w:hAnsi="Arial" w:cs="Arial"/>
          <w:noProof/>
          <w:sz w:val="24"/>
          <w:lang w:val="en-US" w:eastAsia="en-US"/>
        </w:rPr>
        <w:tab/>
        <w:t>Lebedeva L, Groth D, Hermanussen M, Scheffler C, Godina E. The network effects on conscripts’ height in the central provinces of Russian empire in the middle of XIX century - at the beginning of XX century. Anthropol Anzeiger [Internet]. 2019 Nov 8;76(5):371–7. Available from: http://www.ncbi.nlm.nih.gov/pubmed/30994699</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83. </w:t>
      </w:r>
      <w:r w:rsidRPr="003C7B44">
        <w:rPr>
          <w:rFonts w:ascii="Arial" w:hAnsi="Arial" w:cs="Arial"/>
          <w:noProof/>
          <w:sz w:val="24"/>
          <w:lang w:val="en-US" w:eastAsia="en-US"/>
        </w:rPr>
        <w:tab/>
        <w:t xml:space="preserve">Komlos J, Tanner JM, Davies PS, Cole T. The growth of boys in the Stuttgart Carlschule, 1771-93. Ann Hum Biol. 1992;19(2):139–52.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84. </w:t>
      </w:r>
      <w:r w:rsidRPr="003C7B44">
        <w:rPr>
          <w:rFonts w:ascii="Arial" w:hAnsi="Arial" w:cs="Arial"/>
          <w:noProof/>
          <w:sz w:val="24"/>
          <w:lang w:val="en-US" w:eastAsia="en-US"/>
        </w:rPr>
        <w:tab/>
        <w:t>NCD Risk Factor Collaboration (NCD-RisC). A century of trends in adult human height. Elife [Internet]. 2016 Jul 26;5. Available from: http://www.ncbi.nlm.nih.gov/pubmed/27458798</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85. </w:t>
      </w:r>
      <w:r w:rsidRPr="003C7B44">
        <w:rPr>
          <w:rFonts w:ascii="Arial" w:hAnsi="Arial" w:cs="Arial"/>
          <w:noProof/>
          <w:sz w:val="24"/>
          <w:lang w:val="en-US" w:eastAsia="en-US"/>
        </w:rPr>
        <w:tab/>
        <w:t xml:space="preserve">Tajfel H, Turner JC. The Social Identity Theory of Intergroup Behavior. In: Jost JT, Sidanius J, editors. Political Psychology: Key readings. New York, NY: Psychology Press; 2004. p. 276–93.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86. </w:t>
      </w:r>
      <w:r w:rsidRPr="003C7B44">
        <w:rPr>
          <w:rFonts w:ascii="Arial" w:hAnsi="Arial" w:cs="Arial"/>
          <w:noProof/>
          <w:sz w:val="24"/>
          <w:lang w:val="en-US" w:eastAsia="en-US"/>
        </w:rPr>
        <w:tab/>
        <w:t xml:space="preserve">Duda JL, Chi L, Newton ML, Walling MD, Catley D. Task and ego orientation and intrinsic motivation in sport. Int J Sport Psychol. 1995;26(1):40–63. </w:t>
      </w:r>
    </w:p>
    <w:p w:rsidR="003C7B44" w:rsidRPr="003C7B44" w:rsidRDefault="003C7B44" w:rsidP="003C7B44">
      <w:pPr>
        <w:widowControl w:val="0"/>
        <w:suppressAutoHyphens w:val="0"/>
        <w:autoSpaceDE w:val="0"/>
        <w:autoSpaceDN w:val="0"/>
        <w:adjustRightInd w:val="0"/>
        <w:ind w:left="640" w:hanging="640"/>
        <w:jc w:val="left"/>
        <w:rPr>
          <w:rFonts w:ascii="Arial" w:hAnsi="Arial" w:cs="Arial"/>
          <w:noProof/>
          <w:sz w:val="24"/>
          <w:lang w:val="en-US" w:eastAsia="en-US"/>
        </w:rPr>
      </w:pPr>
      <w:r w:rsidRPr="003C7B44">
        <w:rPr>
          <w:rFonts w:ascii="Arial" w:hAnsi="Arial" w:cs="Arial"/>
          <w:noProof/>
          <w:sz w:val="24"/>
          <w:lang w:val="en-US" w:eastAsia="en-US"/>
        </w:rPr>
        <w:t xml:space="preserve">87. </w:t>
      </w:r>
      <w:r w:rsidRPr="003C7B44">
        <w:rPr>
          <w:rFonts w:ascii="Arial" w:hAnsi="Arial" w:cs="Arial"/>
          <w:noProof/>
          <w:sz w:val="24"/>
          <w:lang w:val="en-US" w:eastAsia="en-US"/>
        </w:rPr>
        <w:tab/>
        <w:t xml:space="preserve">Haymes SN, de Haymes MV, Miller R. Routledge Handbook of Poverty in the United States. London and New York: Routledge.; 2015. </w:t>
      </w:r>
    </w:p>
    <w:p w:rsidR="00B24048" w:rsidRPr="00174B5A" w:rsidRDefault="003C7B44" w:rsidP="003C7B44">
      <w:pPr>
        <w:pStyle w:val="address"/>
      </w:pPr>
      <w:r w:rsidRPr="003C7B44">
        <w:rPr>
          <w:rFonts w:ascii="Arial" w:hAnsi="Arial" w:cs="Arial"/>
          <w:sz w:val="24"/>
          <w:szCs w:val="24"/>
          <w:lang w:eastAsia="en-US"/>
        </w:rPr>
        <w:fldChar w:fldCharType="end"/>
      </w:r>
      <w:r w:rsidR="00BA2961" w:rsidRPr="00BA2961">
        <w:rPr>
          <w:rStyle w:val="given-names"/>
        </w:rPr>
        <w:t>Barry</w:t>
      </w:r>
      <w:r w:rsidR="00BA2961" w:rsidRPr="00BA2961">
        <w:t xml:space="preserve"> </w:t>
      </w:r>
      <w:proofErr w:type="spellStart"/>
      <w:r w:rsidR="00BA2961" w:rsidRPr="00BA2961">
        <w:rPr>
          <w:rStyle w:val="surname"/>
        </w:rPr>
        <w:t>Bogin</w:t>
      </w:r>
      <w:proofErr w:type="spellEnd"/>
      <w:r w:rsidR="00B24048" w:rsidRPr="00174B5A">
        <w:t xml:space="preserve">, </w:t>
      </w:r>
      <w:r w:rsidR="00BA2961">
        <w:rPr>
          <w:rStyle w:val="degrees"/>
          <w:lang w:val="en-US"/>
        </w:rPr>
        <w:t>PhD</w:t>
      </w:r>
    </w:p>
    <w:p w:rsidR="008D6C40" w:rsidRDefault="00BA2961" w:rsidP="00B24048">
      <w:pPr>
        <w:pStyle w:val="address"/>
      </w:pPr>
      <w:r w:rsidRPr="00BA2961">
        <w:t>University of California</w:t>
      </w:r>
      <w:r>
        <w:t>,</w:t>
      </w:r>
      <w:r w:rsidRPr="00BA2961">
        <w:t xml:space="preserve"> </w:t>
      </w:r>
      <w:proofErr w:type="spellStart"/>
      <w:r>
        <w:t>Fantasystreet</w:t>
      </w:r>
      <w:proofErr w:type="spellEnd"/>
      <w:r>
        <w:t xml:space="preserve"> 12-15, 1035 San Diego, USA</w:t>
      </w:r>
    </w:p>
    <w:p w:rsidR="00F57C85" w:rsidRPr="005D26B0" w:rsidRDefault="00BA2961" w:rsidP="005D26B0">
      <w:pPr>
        <w:pStyle w:val="mail"/>
        <w:rPr>
          <w:b/>
        </w:rPr>
      </w:pPr>
      <w:r w:rsidRPr="00BA2961">
        <w:rPr>
          <w:b/>
        </w:rPr>
        <w:t>b.a.bogin@lboro.ac.uk</w:t>
      </w:r>
    </w:p>
    <w:sectPr w:rsidR="00F57C85" w:rsidRPr="005D26B0">
      <w:footnotePr>
        <w:pos w:val="beneathText"/>
      </w:footnotePr>
      <w:type w:val="continuous"/>
      <w:pgSz w:w="11905" w:h="16837"/>
      <w:pgMar w:top="1417" w:right="1417" w:bottom="1134"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0E48" w:rsidRDefault="00210E48">
      <w:r>
        <w:separator/>
      </w:r>
    </w:p>
  </w:endnote>
  <w:endnote w:type="continuationSeparator" w:id="0">
    <w:p w:rsidR="00210E48" w:rsidRDefault="0021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0E48" w:rsidRDefault="00210E48">
      <w:r>
        <w:separator/>
      </w:r>
    </w:p>
  </w:footnote>
  <w:footnote w:type="continuationSeparator" w:id="0">
    <w:p w:rsidR="00210E48" w:rsidRDefault="00210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558CD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96A2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46F9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8628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664E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808F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785C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F24E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C6F3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DE651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pStyle w:val="berschrift1"/>
      <w:lvlText w:val=""/>
      <w:lvlJc w:val="left"/>
      <w:pPr>
        <w:tabs>
          <w:tab w:val="num" w:pos="432"/>
        </w:tabs>
        <w:ind w:left="432" w:hanging="432"/>
      </w:pPr>
    </w:lvl>
    <w:lvl w:ilvl="1">
      <w:start w:val="1"/>
      <w:numFmt w:val="none"/>
      <w:pStyle w:val="berschrift2"/>
      <w:lvlText w:val=""/>
      <w:lvlJc w:val="left"/>
      <w:pPr>
        <w:tabs>
          <w:tab w:val="num" w:pos="576"/>
        </w:tabs>
        <w:ind w:left="576" w:hanging="576"/>
      </w:pPr>
    </w:lvl>
    <w:lvl w:ilvl="2">
      <w:start w:val="1"/>
      <w:numFmt w:val="none"/>
      <w:pStyle w:val="berschrift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berschrift7"/>
      <w:lvlText w:val=""/>
      <w:lvlJc w:val="left"/>
      <w:pPr>
        <w:tabs>
          <w:tab w:val="num" w:pos="1296"/>
        </w:tabs>
        <w:ind w:left="1296" w:hanging="1296"/>
      </w:pPr>
    </w:lvl>
    <w:lvl w:ilvl="7">
      <w:start w:val="1"/>
      <w:numFmt w:val="none"/>
      <w:pStyle w:val="berschrift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0000002"/>
    <w:multiLevelType w:val="singleLevel"/>
    <w:tmpl w:val="00000002"/>
    <w:name w:val="WW8Num22"/>
    <w:lvl w:ilvl="0">
      <w:start w:val="1"/>
      <w:numFmt w:val="decimal"/>
      <w:lvlText w:val="%1."/>
      <w:lvlJc w:val="left"/>
      <w:pPr>
        <w:tabs>
          <w:tab w:val="num" w:pos="1440"/>
        </w:tabs>
        <w:ind w:left="1440" w:hanging="360"/>
      </w:pPr>
    </w:lvl>
  </w:abstractNum>
  <w:abstractNum w:abstractNumId="12" w15:restartNumberingAfterBreak="0">
    <w:nsid w:val="00000003"/>
    <w:multiLevelType w:val="singleLevel"/>
    <w:tmpl w:val="00000003"/>
    <w:name w:val="WW8Num25"/>
    <w:lvl w:ilvl="0">
      <w:start w:val="1"/>
      <w:numFmt w:val="decimal"/>
      <w:lvlText w:val="%1."/>
      <w:lvlJc w:val="left"/>
      <w:pPr>
        <w:tabs>
          <w:tab w:val="num" w:pos="397"/>
        </w:tabs>
        <w:ind w:left="737" w:hanging="737"/>
      </w:pPr>
    </w:lvl>
  </w:abstractNum>
  <w:abstractNum w:abstractNumId="13" w15:restartNumberingAfterBreak="0">
    <w:nsid w:val="0E8B2BA6"/>
    <w:multiLevelType w:val="hybridMultilevel"/>
    <w:tmpl w:val="6ACCAD0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2681580E"/>
    <w:multiLevelType w:val="hybridMultilevel"/>
    <w:tmpl w:val="85F451A6"/>
    <w:lvl w:ilvl="0" w:tplc="9C141968">
      <w:start w:val="1"/>
      <w:numFmt w:val="decimal"/>
      <w:pStyle w:val="references"/>
      <w:lvlText w:val="%1."/>
      <w:lvlJc w:val="left"/>
      <w:pPr>
        <w:ind w:left="360" w:hanging="360"/>
      </w:pPr>
      <w:rPr>
        <w:b/>
      </w:rPr>
    </w:lvl>
    <w:lvl w:ilvl="1" w:tplc="04070019">
      <w:start w:val="1"/>
      <w:numFmt w:val="lowerLetter"/>
      <w:lvlText w:val="%2."/>
      <w:lvlJc w:val="left"/>
      <w:pPr>
        <w:ind w:left="14220" w:hanging="360"/>
      </w:pPr>
    </w:lvl>
    <w:lvl w:ilvl="2" w:tplc="0407001B" w:tentative="1">
      <w:start w:val="1"/>
      <w:numFmt w:val="lowerRoman"/>
      <w:lvlText w:val="%3."/>
      <w:lvlJc w:val="right"/>
      <w:pPr>
        <w:ind w:left="14940" w:hanging="180"/>
      </w:pPr>
    </w:lvl>
    <w:lvl w:ilvl="3" w:tplc="0407000F" w:tentative="1">
      <w:start w:val="1"/>
      <w:numFmt w:val="decimal"/>
      <w:lvlText w:val="%4."/>
      <w:lvlJc w:val="left"/>
      <w:pPr>
        <w:ind w:left="15660" w:hanging="360"/>
      </w:pPr>
    </w:lvl>
    <w:lvl w:ilvl="4" w:tplc="04070019" w:tentative="1">
      <w:start w:val="1"/>
      <w:numFmt w:val="lowerLetter"/>
      <w:lvlText w:val="%5."/>
      <w:lvlJc w:val="left"/>
      <w:pPr>
        <w:ind w:left="16380" w:hanging="360"/>
      </w:pPr>
    </w:lvl>
    <w:lvl w:ilvl="5" w:tplc="0407001B" w:tentative="1">
      <w:start w:val="1"/>
      <w:numFmt w:val="lowerRoman"/>
      <w:lvlText w:val="%6."/>
      <w:lvlJc w:val="right"/>
      <w:pPr>
        <w:ind w:left="17100" w:hanging="180"/>
      </w:pPr>
    </w:lvl>
    <w:lvl w:ilvl="6" w:tplc="0407000F" w:tentative="1">
      <w:start w:val="1"/>
      <w:numFmt w:val="decimal"/>
      <w:lvlText w:val="%7."/>
      <w:lvlJc w:val="left"/>
      <w:pPr>
        <w:ind w:left="17820" w:hanging="360"/>
      </w:pPr>
    </w:lvl>
    <w:lvl w:ilvl="7" w:tplc="04070019" w:tentative="1">
      <w:start w:val="1"/>
      <w:numFmt w:val="lowerLetter"/>
      <w:lvlText w:val="%8."/>
      <w:lvlJc w:val="left"/>
      <w:pPr>
        <w:ind w:left="18540" w:hanging="360"/>
      </w:pPr>
    </w:lvl>
    <w:lvl w:ilvl="8" w:tplc="0407001B" w:tentative="1">
      <w:start w:val="1"/>
      <w:numFmt w:val="lowerRoman"/>
      <w:lvlText w:val="%9."/>
      <w:lvlJc w:val="right"/>
      <w:pPr>
        <w:ind w:left="19260" w:hanging="180"/>
      </w:pPr>
    </w:lvl>
  </w:abstractNum>
  <w:abstractNum w:abstractNumId="15" w15:restartNumberingAfterBreak="0">
    <w:nsid w:val="3620284D"/>
    <w:multiLevelType w:val="hybridMultilevel"/>
    <w:tmpl w:val="74AA0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FA315C"/>
    <w:multiLevelType w:val="hybridMultilevel"/>
    <w:tmpl w:val="BBC041B2"/>
    <w:lvl w:ilvl="0" w:tplc="D1BA7438">
      <w:start w:val="1"/>
      <w:numFmt w:val="bullet"/>
      <w:pStyle w:val="Normallis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0D73EE"/>
    <w:multiLevelType w:val="singleLevel"/>
    <w:tmpl w:val="0407000F"/>
    <w:lvl w:ilvl="0">
      <w:start w:val="1"/>
      <w:numFmt w:val="decimal"/>
      <w:lvlText w:val="%1."/>
      <w:lvlJc w:val="left"/>
      <w:pPr>
        <w:tabs>
          <w:tab w:val="num" w:pos="360"/>
        </w:tabs>
        <w:ind w:left="360" w:hanging="360"/>
      </w:pPr>
    </w:lvl>
  </w:abstractNum>
  <w:num w:numId="1">
    <w:abstractNumId w:val="10"/>
  </w:num>
  <w:num w:numId="2">
    <w:abstractNumId w:val="11"/>
  </w:num>
  <w:num w:numId="3">
    <w:abstractNumId w:val="12"/>
  </w:num>
  <w:num w:numId="4">
    <w:abstractNumId w:val="17"/>
  </w:num>
  <w:num w:numId="5">
    <w:abstractNumId w:val="14"/>
  </w:num>
  <w:num w:numId="6">
    <w:abstractNumId w:val="13"/>
  </w:num>
  <w:num w:numId="7">
    <w:abstractNumId w:val="16"/>
  </w:num>
  <w:num w:numId="8">
    <w:abstractNumId w:val="14"/>
    <w:lvlOverride w:ilvl="0">
      <w:startOverride w:val="1"/>
    </w:lvlOverride>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48"/>
  <w:hideSpellingErrors/>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E48"/>
    <w:rsid w:val="00014473"/>
    <w:rsid w:val="00020C1B"/>
    <w:rsid w:val="0002203A"/>
    <w:rsid w:val="0003098C"/>
    <w:rsid w:val="00031736"/>
    <w:rsid w:val="000352BE"/>
    <w:rsid w:val="0003604B"/>
    <w:rsid w:val="00042397"/>
    <w:rsid w:val="00052BE6"/>
    <w:rsid w:val="00057D56"/>
    <w:rsid w:val="00084F82"/>
    <w:rsid w:val="00092A1B"/>
    <w:rsid w:val="00093E88"/>
    <w:rsid w:val="00097438"/>
    <w:rsid w:val="000A3B28"/>
    <w:rsid w:val="000B3584"/>
    <w:rsid w:val="000C35FB"/>
    <w:rsid w:val="000D0348"/>
    <w:rsid w:val="000D161D"/>
    <w:rsid w:val="000D1BF1"/>
    <w:rsid w:val="000D3403"/>
    <w:rsid w:val="000D356E"/>
    <w:rsid w:val="000E3647"/>
    <w:rsid w:val="000E3ED9"/>
    <w:rsid w:val="000E6349"/>
    <w:rsid w:val="000E7BE2"/>
    <w:rsid w:val="000F4680"/>
    <w:rsid w:val="0010587D"/>
    <w:rsid w:val="0011122A"/>
    <w:rsid w:val="00120443"/>
    <w:rsid w:val="00125368"/>
    <w:rsid w:val="001261A3"/>
    <w:rsid w:val="00130CC2"/>
    <w:rsid w:val="00130F4B"/>
    <w:rsid w:val="00131EBA"/>
    <w:rsid w:val="00136DB6"/>
    <w:rsid w:val="001405C3"/>
    <w:rsid w:val="00146733"/>
    <w:rsid w:val="0016300F"/>
    <w:rsid w:val="00166FA8"/>
    <w:rsid w:val="001706A6"/>
    <w:rsid w:val="00171836"/>
    <w:rsid w:val="00174B5A"/>
    <w:rsid w:val="00186726"/>
    <w:rsid w:val="001A1EBA"/>
    <w:rsid w:val="001A40EE"/>
    <w:rsid w:val="001B190C"/>
    <w:rsid w:val="001B2E7D"/>
    <w:rsid w:val="001C12A6"/>
    <w:rsid w:val="001C3D43"/>
    <w:rsid w:val="001C71F8"/>
    <w:rsid w:val="001D6BD1"/>
    <w:rsid w:val="001E21EE"/>
    <w:rsid w:val="001E3C4C"/>
    <w:rsid w:val="001F30FC"/>
    <w:rsid w:val="001F39DE"/>
    <w:rsid w:val="00200C67"/>
    <w:rsid w:val="00204A10"/>
    <w:rsid w:val="00210E48"/>
    <w:rsid w:val="00211721"/>
    <w:rsid w:val="00211F20"/>
    <w:rsid w:val="00212FAD"/>
    <w:rsid w:val="002131E7"/>
    <w:rsid w:val="00220F2C"/>
    <w:rsid w:val="00222A36"/>
    <w:rsid w:val="00223EEF"/>
    <w:rsid w:val="00227D07"/>
    <w:rsid w:val="00232440"/>
    <w:rsid w:val="00235E25"/>
    <w:rsid w:val="00236872"/>
    <w:rsid w:val="002473CC"/>
    <w:rsid w:val="0027464D"/>
    <w:rsid w:val="00281365"/>
    <w:rsid w:val="00282FB2"/>
    <w:rsid w:val="002843A7"/>
    <w:rsid w:val="00287990"/>
    <w:rsid w:val="00287E01"/>
    <w:rsid w:val="00291770"/>
    <w:rsid w:val="00294C0B"/>
    <w:rsid w:val="002A04C3"/>
    <w:rsid w:val="002A18AD"/>
    <w:rsid w:val="002A5D42"/>
    <w:rsid w:val="002B4112"/>
    <w:rsid w:val="002B6A37"/>
    <w:rsid w:val="002B73E6"/>
    <w:rsid w:val="002C009A"/>
    <w:rsid w:val="002D69D8"/>
    <w:rsid w:val="002E2852"/>
    <w:rsid w:val="002E56C7"/>
    <w:rsid w:val="002E7D47"/>
    <w:rsid w:val="002F48A3"/>
    <w:rsid w:val="002F5C96"/>
    <w:rsid w:val="003120F4"/>
    <w:rsid w:val="00312679"/>
    <w:rsid w:val="00315523"/>
    <w:rsid w:val="00323FA1"/>
    <w:rsid w:val="0032664F"/>
    <w:rsid w:val="00327BD9"/>
    <w:rsid w:val="00330833"/>
    <w:rsid w:val="003348C6"/>
    <w:rsid w:val="00336A74"/>
    <w:rsid w:val="00346716"/>
    <w:rsid w:val="00352111"/>
    <w:rsid w:val="003523D1"/>
    <w:rsid w:val="003613CB"/>
    <w:rsid w:val="00364159"/>
    <w:rsid w:val="00366299"/>
    <w:rsid w:val="00372469"/>
    <w:rsid w:val="00372EEA"/>
    <w:rsid w:val="00374D6F"/>
    <w:rsid w:val="003765E2"/>
    <w:rsid w:val="00376964"/>
    <w:rsid w:val="00377C6A"/>
    <w:rsid w:val="0038018D"/>
    <w:rsid w:val="00380B62"/>
    <w:rsid w:val="003876CE"/>
    <w:rsid w:val="00391E64"/>
    <w:rsid w:val="0039350C"/>
    <w:rsid w:val="003A7461"/>
    <w:rsid w:val="003B05CE"/>
    <w:rsid w:val="003B2BD8"/>
    <w:rsid w:val="003B75EA"/>
    <w:rsid w:val="003C21F3"/>
    <w:rsid w:val="003C7B44"/>
    <w:rsid w:val="003D4125"/>
    <w:rsid w:val="003E7584"/>
    <w:rsid w:val="003F063B"/>
    <w:rsid w:val="003F22DB"/>
    <w:rsid w:val="003F36FF"/>
    <w:rsid w:val="003F5AE5"/>
    <w:rsid w:val="00402D58"/>
    <w:rsid w:val="00410BE9"/>
    <w:rsid w:val="00414D24"/>
    <w:rsid w:val="0042499A"/>
    <w:rsid w:val="00446707"/>
    <w:rsid w:val="004518BD"/>
    <w:rsid w:val="00453092"/>
    <w:rsid w:val="004635FF"/>
    <w:rsid w:val="004728D3"/>
    <w:rsid w:val="00474668"/>
    <w:rsid w:val="00475C20"/>
    <w:rsid w:val="004801D9"/>
    <w:rsid w:val="004A04EA"/>
    <w:rsid w:val="004A6409"/>
    <w:rsid w:val="004B207D"/>
    <w:rsid w:val="004B5D3F"/>
    <w:rsid w:val="004C39EE"/>
    <w:rsid w:val="004C495F"/>
    <w:rsid w:val="004C6CB5"/>
    <w:rsid w:val="004D2C4C"/>
    <w:rsid w:val="004D7623"/>
    <w:rsid w:val="004E1107"/>
    <w:rsid w:val="004E471A"/>
    <w:rsid w:val="004E5F31"/>
    <w:rsid w:val="005003D4"/>
    <w:rsid w:val="00502824"/>
    <w:rsid w:val="005065F1"/>
    <w:rsid w:val="00513410"/>
    <w:rsid w:val="005174E1"/>
    <w:rsid w:val="00520C64"/>
    <w:rsid w:val="00532D26"/>
    <w:rsid w:val="005511E5"/>
    <w:rsid w:val="0055258B"/>
    <w:rsid w:val="00557884"/>
    <w:rsid w:val="00566425"/>
    <w:rsid w:val="00576CE5"/>
    <w:rsid w:val="005855AD"/>
    <w:rsid w:val="005927DC"/>
    <w:rsid w:val="00592EA1"/>
    <w:rsid w:val="00593FFE"/>
    <w:rsid w:val="0059583F"/>
    <w:rsid w:val="005C1975"/>
    <w:rsid w:val="005C20C7"/>
    <w:rsid w:val="005C4275"/>
    <w:rsid w:val="005D031E"/>
    <w:rsid w:val="005D26B0"/>
    <w:rsid w:val="005D5F06"/>
    <w:rsid w:val="005E1D00"/>
    <w:rsid w:val="005E4E2D"/>
    <w:rsid w:val="005F4FFC"/>
    <w:rsid w:val="00602B66"/>
    <w:rsid w:val="006037D1"/>
    <w:rsid w:val="006045B0"/>
    <w:rsid w:val="0061216F"/>
    <w:rsid w:val="0063247F"/>
    <w:rsid w:val="0063283F"/>
    <w:rsid w:val="0063761D"/>
    <w:rsid w:val="00640353"/>
    <w:rsid w:val="00643EC9"/>
    <w:rsid w:val="0064424A"/>
    <w:rsid w:val="00646B77"/>
    <w:rsid w:val="00650322"/>
    <w:rsid w:val="006505FC"/>
    <w:rsid w:val="006527CC"/>
    <w:rsid w:val="00653C36"/>
    <w:rsid w:val="00660485"/>
    <w:rsid w:val="006662C6"/>
    <w:rsid w:val="00671D7D"/>
    <w:rsid w:val="00673975"/>
    <w:rsid w:val="00682471"/>
    <w:rsid w:val="006910A9"/>
    <w:rsid w:val="006A4AB5"/>
    <w:rsid w:val="006A508A"/>
    <w:rsid w:val="006B054C"/>
    <w:rsid w:val="006C3720"/>
    <w:rsid w:val="006C7D6C"/>
    <w:rsid w:val="006D149E"/>
    <w:rsid w:val="006D3C75"/>
    <w:rsid w:val="006D5D6E"/>
    <w:rsid w:val="006E27FF"/>
    <w:rsid w:val="006E575F"/>
    <w:rsid w:val="006F3005"/>
    <w:rsid w:val="00701235"/>
    <w:rsid w:val="00705E48"/>
    <w:rsid w:val="00711B0A"/>
    <w:rsid w:val="007143B6"/>
    <w:rsid w:val="007219F4"/>
    <w:rsid w:val="00721A89"/>
    <w:rsid w:val="007309D2"/>
    <w:rsid w:val="00735216"/>
    <w:rsid w:val="0073535A"/>
    <w:rsid w:val="00742194"/>
    <w:rsid w:val="00743B61"/>
    <w:rsid w:val="007569F4"/>
    <w:rsid w:val="007751E0"/>
    <w:rsid w:val="007A26D3"/>
    <w:rsid w:val="007B2475"/>
    <w:rsid w:val="007E16B8"/>
    <w:rsid w:val="007E40A7"/>
    <w:rsid w:val="007F5BCA"/>
    <w:rsid w:val="00805F0C"/>
    <w:rsid w:val="008459D8"/>
    <w:rsid w:val="00845B4B"/>
    <w:rsid w:val="00847D95"/>
    <w:rsid w:val="0085715D"/>
    <w:rsid w:val="00860B1A"/>
    <w:rsid w:val="008657F2"/>
    <w:rsid w:val="00872E5D"/>
    <w:rsid w:val="008760E9"/>
    <w:rsid w:val="0088032D"/>
    <w:rsid w:val="0088387B"/>
    <w:rsid w:val="0089286A"/>
    <w:rsid w:val="008938E5"/>
    <w:rsid w:val="008A1F4B"/>
    <w:rsid w:val="008A6A65"/>
    <w:rsid w:val="008C14B4"/>
    <w:rsid w:val="008C20AE"/>
    <w:rsid w:val="008C2F04"/>
    <w:rsid w:val="008C3BA3"/>
    <w:rsid w:val="008C5194"/>
    <w:rsid w:val="008D15F8"/>
    <w:rsid w:val="008D35B5"/>
    <w:rsid w:val="008D4AA6"/>
    <w:rsid w:val="008D585F"/>
    <w:rsid w:val="008D6C40"/>
    <w:rsid w:val="008E4873"/>
    <w:rsid w:val="008E5F5C"/>
    <w:rsid w:val="00900064"/>
    <w:rsid w:val="00900A86"/>
    <w:rsid w:val="00902D40"/>
    <w:rsid w:val="0090446D"/>
    <w:rsid w:val="00905EC4"/>
    <w:rsid w:val="00921818"/>
    <w:rsid w:val="00930143"/>
    <w:rsid w:val="00933130"/>
    <w:rsid w:val="00933F61"/>
    <w:rsid w:val="00934A41"/>
    <w:rsid w:val="00936A82"/>
    <w:rsid w:val="00945C72"/>
    <w:rsid w:val="009516E3"/>
    <w:rsid w:val="00952D99"/>
    <w:rsid w:val="009570CC"/>
    <w:rsid w:val="00974880"/>
    <w:rsid w:val="009819F9"/>
    <w:rsid w:val="00986BBD"/>
    <w:rsid w:val="00986E7E"/>
    <w:rsid w:val="009870BF"/>
    <w:rsid w:val="00990C2A"/>
    <w:rsid w:val="009A674B"/>
    <w:rsid w:val="009A7230"/>
    <w:rsid w:val="009B0A76"/>
    <w:rsid w:val="009B33D5"/>
    <w:rsid w:val="009D4032"/>
    <w:rsid w:val="009D7BEB"/>
    <w:rsid w:val="009F34EF"/>
    <w:rsid w:val="009F4F3E"/>
    <w:rsid w:val="00A00681"/>
    <w:rsid w:val="00A10425"/>
    <w:rsid w:val="00A15D78"/>
    <w:rsid w:val="00A16D06"/>
    <w:rsid w:val="00A324F2"/>
    <w:rsid w:val="00A32A34"/>
    <w:rsid w:val="00A54487"/>
    <w:rsid w:val="00A645EE"/>
    <w:rsid w:val="00A64B60"/>
    <w:rsid w:val="00A65B07"/>
    <w:rsid w:val="00A674E0"/>
    <w:rsid w:val="00A819EC"/>
    <w:rsid w:val="00A836EC"/>
    <w:rsid w:val="00A85FE5"/>
    <w:rsid w:val="00A87BFF"/>
    <w:rsid w:val="00A9188F"/>
    <w:rsid w:val="00A97CD8"/>
    <w:rsid w:val="00AA1A9A"/>
    <w:rsid w:val="00AB62E5"/>
    <w:rsid w:val="00AB6B00"/>
    <w:rsid w:val="00AC4028"/>
    <w:rsid w:val="00AD1BB9"/>
    <w:rsid w:val="00AD2784"/>
    <w:rsid w:val="00AE215B"/>
    <w:rsid w:val="00AF338E"/>
    <w:rsid w:val="00B00D26"/>
    <w:rsid w:val="00B00F59"/>
    <w:rsid w:val="00B015C0"/>
    <w:rsid w:val="00B1085C"/>
    <w:rsid w:val="00B12F1D"/>
    <w:rsid w:val="00B17CE2"/>
    <w:rsid w:val="00B2390F"/>
    <w:rsid w:val="00B24048"/>
    <w:rsid w:val="00B251B7"/>
    <w:rsid w:val="00B31BF0"/>
    <w:rsid w:val="00B33335"/>
    <w:rsid w:val="00B34606"/>
    <w:rsid w:val="00B407CE"/>
    <w:rsid w:val="00B45432"/>
    <w:rsid w:val="00B539F5"/>
    <w:rsid w:val="00B53B91"/>
    <w:rsid w:val="00B61E13"/>
    <w:rsid w:val="00B7024A"/>
    <w:rsid w:val="00B70630"/>
    <w:rsid w:val="00B75891"/>
    <w:rsid w:val="00B81F1C"/>
    <w:rsid w:val="00B931B5"/>
    <w:rsid w:val="00BA2961"/>
    <w:rsid w:val="00BA6B9F"/>
    <w:rsid w:val="00BC7090"/>
    <w:rsid w:val="00BD0167"/>
    <w:rsid w:val="00BD27A5"/>
    <w:rsid w:val="00BD28B6"/>
    <w:rsid w:val="00BD65A6"/>
    <w:rsid w:val="00BE6AA6"/>
    <w:rsid w:val="00BF1A8E"/>
    <w:rsid w:val="00C02B41"/>
    <w:rsid w:val="00C038B0"/>
    <w:rsid w:val="00C041AA"/>
    <w:rsid w:val="00C179E4"/>
    <w:rsid w:val="00C17AB5"/>
    <w:rsid w:val="00C211AD"/>
    <w:rsid w:val="00C21F8E"/>
    <w:rsid w:val="00C65DD8"/>
    <w:rsid w:val="00C66A56"/>
    <w:rsid w:val="00C720C9"/>
    <w:rsid w:val="00C72549"/>
    <w:rsid w:val="00C86EE3"/>
    <w:rsid w:val="00C9180E"/>
    <w:rsid w:val="00C929C3"/>
    <w:rsid w:val="00C93531"/>
    <w:rsid w:val="00CA2587"/>
    <w:rsid w:val="00CB29F0"/>
    <w:rsid w:val="00CB3C0E"/>
    <w:rsid w:val="00CB5122"/>
    <w:rsid w:val="00CB5391"/>
    <w:rsid w:val="00CB76A7"/>
    <w:rsid w:val="00CC4B6B"/>
    <w:rsid w:val="00CC7A66"/>
    <w:rsid w:val="00CE0B84"/>
    <w:rsid w:val="00CE5A09"/>
    <w:rsid w:val="00CE78BA"/>
    <w:rsid w:val="00CF575D"/>
    <w:rsid w:val="00D05287"/>
    <w:rsid w:val="00D06212"/>
    <w:rsid w:val="00D12FCC"/>
    <w:rsid w:val="00D150C7"/>
    <w:rsid w:val="00D159E2"/>
    <w:rsid w:val="00D26527"/>
    <w:rsid w:val="00D27A8C"/>
    <w:rsid w:val="00D3175F"/>
    <w:rsid w:val="00D36DFE"/>
    <w:rsid w:val="00D40276"/>
    <w:rsid w:val="00D45F52"/>
    <w:rsid w:val="00D51B10"/>
    <w:rsid w:val="00D52FA6"/>
    <w:rsid w:val="00D55981"/>
    <w:rsid w:val="00D70CDF"/>
    <w:rsid w:val="00D74994"/>
    <w:rsid w:val="00D773C6"/>
    <w:rsid w:val="00D80624"/>
    <w:rsid w:val="00D80AE8"/>
    <w:rsid w:val="00D876C2"/>
    <w:rsid w:val="00D93095"/>
    <w:rsid w:val="00DA18B9"/>
    <w:rsid w:val="00DA67AB"/>
    <w:rsid w:val="00DB2978"/>
    <w:rsid w:val="00DB7547"/>
    <w:rsid w:val="00DC63AC"/>
    <w:rsid w:val="00DC6EE3"/>
    <w:rsid w:val="00DD1BA2"/>
    <w:rsid w:val="00DD4930"/>
    <w:rsid w:val="00DD4B3A"/>
    <w:rsid w:val="00DD5205"/>
    <w:rsid w:val="00DD6D42"/>
    <w:rsid w:val="00DD7CFE"/>
    <w:rsid w:val="00DE09B9"/>
    <w:rsid w:val="00DE1550"/>
    <w:rsid w:val="00DE186E"/>
    <w:rsid w:val="00DF36BA"/>
    <w:rsid w:val="00DF6751"/>
    <w:rsid w:val="00DF75CD"/>
    <w:rsid w:val="00DF7EF3"/>
    <w:rsid w:val="00E01125"/>
    <w:rsid w:val="00E06027"/>
    <w:rsid w:val="00E060F0"/>
    <w:rsid w:val="00E07FD7"/>
    <w:rsid w:val="00E135F9"/>
    <w:rsid w:val="00E226C9"/>
    <w:rsid w:val="00E27AAE"/>
    <w:rsid w:val="00E426C9"/>
    <w:rsid w:val="00E52EE2"/>
    <w:rsid w:val="00E552E6"/>
    <w:rsid w:val="00E61568"/>
    <w:rsid w:val="00E715FE"/>
    <w:rsid w:val="00E71886"/>
    <w:rsid w:val="00E74764"/>
    <w:rsid w:val="00E811C7"/>
    <w:rsid w:val="00E829F5"/>
    <w:rsid w:val="00E86E3E"/>
    <w:rsid w:val="00E900B2"/>
    <w:rsid w:val="00EA212D"/>
    <w:rsid w:val="00EA2272"/>
    <w:rsid w:val="00EA587D"/>
    <w:rsid w:val="00EB2E3B"/>
    <w:rsid w:val="00EB49B6"/>
    <w:rsid w:val="00EB5E5D"/>
    <w:rsid w:val="00EC75E5"/>
    <w:rsid w:val="00EE0FD7"/>
    <w:rsid w:val="00EE3F14"/>
    <w:rsid w:val="00EE5E69"/>
    <w:rsid w:val="00F0022E"/>
    <w:rsid w:val="00F01EB2"/>
    <w:rsid w:val="00F07E5B"/>
    <w:rsid w:val="00F10050"/>
    <w:rsid w:val="00F23E44"/>
    <w:rsid w:val="00F243C0"/>
    <w:rsid w:val="00F25039"/>
    <w:rsid w:val="00F251E9"/>
    <w:rsid w:val="00F262C6"/>
    <w:rsid w:val="00F366C8"/>
    <w:rsid w:val="00F4398D"/>
    <w:rsid w:val="00F5106E"/>
    <w:rsid w:val="00F53DF0"/>
    <w:rsid w:val="00F57C85"/>
    <w:rsid w:val="00F62C7D"/>
    <w:rsid w:val="00F7263D"/>
    <w:rsid w:val="00F76895"/>
    <w:rsid w:val="00F81CF7"/>
    <w:rsid w:val="00F83B27"/>
    <w:rsid w:val="00F9422A"/>
    <w:rsid w:val="00FA696A"/>
    <w:rsid w:val="00FA7ED2"/>
    <w:rsid w:val="00FB077D"/>
    <w:rsid w:val="00FB1A8B"/>
    <w:rsid w:val="00FB550F"/>
    <w:rsid w:val="00FC37FE"/>
    <w:rsid w:val="00FC6DB6"/>
    <w:rsid w:val="00FE7110"/>
    <w:rsid w:val="00FE7D70"/>
    <w:rsid w:val="00FF515B"/>
    <w:rsid w:val="00FF51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43A403"/>
  <w15:chartTrackingRefBased/>
  <w15:docId w15:val="{00047DC2-5CE2-417C-A2E7-FBC0A0D8D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26527"/>
    <w:pPr>
      <w:suppressAutoHyphens/>
      <w:jc w:val="both"/>
    </w:pPr>
    <w:rPr>
      <w:rFonts w:ascii="Arial Narrow" w:hAnsi="Arial Narrow"/>
      <w:szCs w:val="24"/>
      <w:lang w:eastAsia="ar-SA"/>
    </w:rPr>
  </w:style>
  <w:style w:type="paragraph" w:styleId="berschrift1">
    <w:name w:val="heading 1"/>
    <w:basedOn w:val="Standard"/>
    <w:next w:val="Standard"/>
    <w:uiPriority w:val="5"/>
    <w:pPr>
      <w:keepNext/>
      <w:numPr>
        <w:numId w:val="1"/>
      </w:numPr>
      <w:spacing w:before="240" w:after="60"/>
      <w:outlineLvl w:val="0"/>
    </w:pPr>
    <w:rPr>
      <w:rFonts w:cs="Arial"/>
      <w:b/>
      <w:bCs/>
      <w:kern w:val="1"/>
      <w:sz w:val="28"/>
      <w:szCs w:val="32"/>
    </w:rPr>
  </w:style>
  <w:style w:type="paragraph" w:styleId="berschrift2">
    <w:name w:val="heading 2"/>
    <w:basedOn w:val="Standard"/>
    <w:next w:val="Standard"/>
    <w:uiPriority w:val="5"/>
    <w:qFormat/>
    <w:pPr>
      <w:keepNext/>
      <w:numPr>
        <w:ilvl w:val="1"/>
        <w:numId w:val="1"/>
      </w:numPr>
      <w:tabs>
        <w:tab w:val="clear" w:pos="576"/>
      </w:tabs>
      <w:ind w:left="0" w:firstLine="0"/>
      <w:outlineLvl w:val="1"/>
    </w:pPr>
    <w:rPr>
      <w:rFonts w:cs="Arial"/>
      <w:b/>
      <w:bCs/>
      <w:iCs/>
      <w:sz w:val="24"/>
      <w:szCs w:val="28"/>
    </w:rPr>
  </w:style>
  <w:style w:type="paragraph" w:styleId="berschrift3">
    <w:name w:val="heading 3"/>
    <w:basedOn w:val="Standard"/>
    <w:next w:val="Standard"/>
    <w:uiPriority w:val="5"/>
    <w:qFormat/>
    <w:pPr>
      <w:keepNext/>
      <w:numPr>
        <w:ilvl w:val="2"/>
        <w:numId w:val="1"/>
      </w:numPr>
      <w:tabs>
        <w:tab w:val="clear" w:pos="720"/>
      </w:tabs>
      <w:ind w:left="0" w:firstLine="0"/>
      <w:outlineLvl w:val="2"/>
    </w:pPr>
    <w:rPr>
      <w:rFonts w:cs="Arial"/>
      <w:b/>
      <w:bCs/>
      <w:szCs w:val="26"/>
    </w:rPr>
  </w:style>
  <w:style w:type="paragraph" w:styleId="berschrift7">
    <w:name w:val="heading 7"/>
    <w:basedOn w:val="Standard"/>
    <w:next w:val="Standard"/>
    <w:uiPriority w:val="5"/>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uiPriority w:val="5"/>
    <w:qFormat/>
    <w:pPr>
      <w:numPr>
        <w:ilvl w:val="7"/>
        <w:numId w:val="1"/>
      </w:numPr>
      <w:spacing w:before="240" w:after="60"/>
      <w:outlineLvl w:val="7"/>
    </w:pPr>
    <w:rPr>
      <w:rFonts w:ascii="Times New Roman" w:hAnsi="Times New Roman"/>
      <w:i/>
      <w:iCs/>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1"/>
    <w:semiHidden/>
    <w:rPr>
      <w:color w:val="0000FF"/>
      <w:u w:val="single"/>
    </w:rPr>
  </w:style>
  <w:style w:type="character" w:styleId="Seitenzahl">
    <w:name w:val="page number"/>
    <w:basedOn w:val="Absatz-Standardschriftart"/>
    <w:semiHidden/>
    <w:rsid w:val="00EE0FD7"/>
  </w:style>
  <w:style w:type="paragraph" w:styleId="Textkrper">
    <w:name w:val="Body Text"/>
    <w:basedOn w:val="Standard"/>
    <w:link w:val="TextkrperZchn"/>
    <w:semiHidden/>
    <w:rPr>
      <w:szCs w:val="20"/>
    </w:rPr>
  </w:style>
  <w:style w:type="paragraph" w:styleId="Liste">
    <w:name w:val="List"/>
    <w:basedOn w:val="Textkrper"/>
    <w:uiPriority w:val="1"/>
    <w:semiHidden/>
    <w:rPr>
      <w:rFonts w:cs="Tahoma"/>
    </w:rPr>
  </w:style>
  <w:style w:type="paragraph" w:customStyle="1" w:styleId="Verzeichnis">
    <w:name w:val="Verzeichnis"/>
    <w:basedOn w:val="Standard"/>
    <w:uiPriority w:val="1"/>
    <w:semiHidden/>
    <w:pPr>
      <w:suppressLineNumbers/>
    </w:pPr>
    <w:rPr>
      <w:rFonts w:cs="Tahoma"/>
    </w:rPr>
  </w:style>
  <w:style w:type="paragraph" w:customStyle="1" w:styleId="Formel">
    <w:name w:val="Formel"/>
    <w:basedOn w:val="Standard"/>
    <w:uiPriority w:val="2"/>
    <w:pPr>
      <w:jc w:val="center"/>
    </w:pPr>
    <w:rPr>
      <w:b/>
      <w:sz w:val="16"/>
    </w:rPr>
  </w:style>
  <w:style w:type="paragraph" w:styleId="Kopfzeile">
    <w:name w:val="header"/>
    <w:basedOn w:val="Standard"/>
    <w:link w:val="KopfzeileZchn"/>
    <w:uiPriority w:val="99"/>
    <w:pPr>
      <w:tabs>
        <w:tab w:val="center" w:pos="4536"/>
        <w:tab w:val="right" w:pos="9072"/>
      </w:tabs>
    </w:pPr>
    <w:rPr>
      <w:lang w:val="x-none"/>
    </w:rPr>
  </w:style>
  <w:style w:type="paragraph" w:styleId="Fuzeile">
    <w:name w:val="footer"/>
    <w:basedOn w:val="Standard"/>
    <w:uiPriority w:val="6"/>
    <w:semiHidden/>
    <w:pPr>
      <w:tabs>
        <w:tab w:val="center" w:pos="4536"/>
        <w:tab w:val="right" w:pos="9072"/>
      </w:tabs>
    </w:pPr>
  </w:style>
  <w:style w:type="character" w:customStyle="1" w:styleId="TextkrperZchn">
    <w:name w:val="Textkörper Zchn"/>
    <w:basedOn w:val="Absatz-Standardschriftart"/>
    <w:link w:val="Textkrper"/>
    <w:semiHidden/>
    <w:rsid w:val="003F063B"/>
    <w:rPr>
      <w:rFonts w:ascii="Arial Narrow" w:hAnsi="Arial Narrow"/>
      <w:lang w:eastAsia="ar-SA"/>
    </w:rPr>
  </w:style>
  <w:style w:type="paragraph" w:customStyle="1" w:styleId="tabletitle">
    <w:name w:val="table_title"/>
    <w:basedOn w:val="Standard"/>
    <w:qFormat/>
    <w:rsid w:val="00DC6EE3"/>
    <w:pPr>
      <w:spacing w:before="120"/>
    </w:pPr>
    <w:rPr>
      <w:b/>
      <w:sz w:val="18"/>
      <w:lang w:val="en-US"/>
    </w:rPr>
  </w:style>
  <w:style w:type="character" w:styleId="Funotenzeichen">
    <w:name w:val="footnote reference"/>
    <w:uiPriority w:val="6"/>
    <w:semiHidden/>
    <w:rPr>
      <w:rFonts w:ascii="Arial" w:hAnsi="Arial"/>
      <w:spacing w:val="0"/>
      <w:kern w:val="0"/>
      <w:position w:val="4"/>
      <w:sz w:val="20"/>
      <w:vertAlign w:val="baseline"/>
    </w:rPr>
  </w:style>
  <w:style w:type="paragraph" w:styleId="Funotentext">
    <w:name w:val="footnote text"/>
    <w:basedOn w:val="Standard"/>
    <w:uiPriority w:val="6"/>
    <w:semiHidden/>
    <w:pPr>
      <w:suppressAutoHyphens w:val="0"/>
      <w:overflowPunct w:val="0"/>
      <w:autoSpaceDE w:val="0"/>
      <w:autoSpaceDN w:val="0"/>
      <w:adjustRightInd w:val="0"/>
      <w:textAlignment w:val="baseline"/>
    </w:pPr>
    <w:rPr>
      <w:rFonts w:ascii="Arial" w:hAnsi="Arial"/>
      <w:szCs w:val="20"/>
      <w:lang w:eastAsia="de-DE"/>
    </w:rPr>
  </w:style>
  <w:style w:type="character" w:customStyle="1" w:styleId="FunotentextZchn">
    <w:name w:val="Fußnotentext Zchn"/>
    <w:uiPriority w:val="6"/>
    <w:semiHidden/>
    <w:rPr>
      <w:rFonts w:ascii="Arial" w:hAnsi="Arial"/>
    </w:rPr>
  </w:style>
  <w:style w:type="paragraph" w:styleId="Beschriftung">
    <w:name w:val="caption"/>
    <w:basedOn w:val="Standard"/>
    <w:next w:val="Standard"/>
    <w:uiPriority w:val="35"/>
    <w:unhideWhenUsed/>
    <w:qFormat/>
    <w:rsid w:val="00576CE5"/>
    <w:rPr>
      <w:b/>
      <w:bCs/>
      <w:szCs w:val="20"/>
    </w:rPr>
  </w:style>
  <w:style w:type="paragraph" w:styleId="Sprechblasentext">
    <w:name w:val="Balloon Text"/>
    <w:basedOn w:val="Standard"/>
    <w:link w:val="SprechblasentextZchn"/>
    <w:uiPriority w:val="99"/>
    <w:semiHidden/>
    <w:unhideWhenUsed/>
    <w:rsid w:val="00933F61"/>
    <w:rPr>
      <w:rFonts w:ascii="Tahoma" w:hAnsi="Tahoma"/>
      <w:sz w:val="16"/>
      <w:szCs w:val="16"/>
      <w:lang w:val="x-none"/>
    </w:rPr>
  </w:style>
  <w:style w:type="character" w:customStyle="1" w:styleId="SprechblasentextZchn">
    <w:name w:val="Sprechblasentext Zchn"/>
    <w:link w:val="Sprechblasentext"/>
    <w:uiPriority w:val="99"/>
    <w:semiHidden/>
    <w:rsid w:val="00933F61"/>
    <w:rPr>
      <w:rFonts w:ascii="Tahoma" w:hAnsi="Tahoma" w:cs="Tahoma"/>
      <w:sz w:val="16"/>
      <w:szCs w:val="16"/>
      <w:lang w:eastAsia="ar-SA"/>
    </w:rPr>
  </w:style>
  <w:style w:type="character" w:styleId="Kommentarzeichen">
    <w:name w:val="annotation reference"/>
    <w:uiPriority w:val="99"/>
    <w:semiHidden/>
    <w:unhideWhenUsed/>
    <w:rsid w:val="00B00F59"/>
    <w:rPr>
      <w:sz w:val="16"/>
      <w:szCs w:val="16"/>
    </w:rPr>
  </w:style>
  <w:style w:type="paragraph" w:styleId="Kommentartext">
    <w:name w:val="annotation text"/>
    <w:basedOn w:val="Standard"/>
    <w:link w:val="KommentartextZchn"/>
    <w:uiPriority w:val="99"/>
    <w:semiHidden/>
    <w:unhideWhenUsed/>
    <w:rsid w:val="00B00F59"/>
    <w:rPr>
      <w:szCs w:val="20"/>
      <w:lang w:val="x-none"/>
    </w:rPr>
  </w:style>
  <w:style w:type="character" w:customStyle="1" w:styleId="KommentartextZchn">
    <w:name w:val="Kommentartext Zchn"/>
    <w:link w:val="Kommentartext"/>
    <w:uiPriority w:val="99"/>
    <w:semiHidden/>
    <w:rsid w:val="00B00F59"/>
    <w:rPr>
      <w:rFonts w:ascii="Arial Narrow" w:hAnsi="Arial Narrow"/>
      <w:lang w:eastAsia="ar-SA"/>
    </w:rPr>
  </w:style>
  <w:style w:type="paragraph" w:styleId="Kommentarthema">
    <w:name w:val="annotation subject"/>
    <w:basedOn w:val="Kommentartext"/>
    <w:next w:val="Kommentartext"/>
    <w:link w:val="KommentarthemaZchn"/>
    <w:uiPriority w:val="99"/>
    <w:semiHidden/>
    <w:unhideWhenUsed/>
    <w:rsid w:val="00B00F59"/>
    <w:rPr>
      <w:b/>
      <w:bCs/>
    </w:rPr>
  </w:style>
  <w:style w:type="character" w:customStyle="1" w:styleId="KommentarthemaZchn">
    <w:name w:val="Kommentarthema Zchn"/>
    <w:link w:val="Kommentarthema"/>
    <w:uiPriority w:val="99"/>
    <w:semiHidden/>
    <w:rsid w:val="00B00F59"/>
    <w:rPr>
      <w:rFonts w:ascii="Arial Narrow" w:hAnsi="Arial Narrow"/>
      <w:b/>
      <w:bCs/>
      <w:lang w:eastAsia="ar-SA"/>
    </w:rPr>
  </w:style>
  <w:style w:type="character" w:customStyle="1" w:styleId="KopfzeileZchn">
    <w:name w:val="Kopfzeile Zchn"/>
    <w:link w:val="Kopfzeile"/>
    <w:uiPriority w:val="99"/>
    <w:rsid w:val="004A6409"/>
    <w:rPr>
      <w:rFonts w:ascii="Arial Narrow" w:hAnsi="Arial Narrow"/>
      <w:szCs w:val="24"/>
      <w:lang w:eastAsia="ar-SA"/>
    </w:rPr>
  </w:style>
  <w:style w:type="paragraph" w:customStyle="1" w:styleId="Headline-1">
    <w:name w:val="Headline-1"/>
    <w:basedOn w:val="Standard"/>
    <w:rsid w:val="00AD2784"/>
    <w:pPr>
      <w:spacing w:before="240" w:after="240"/>
    </w:pPr>
    <w:rPr>
      <w:b/>
      <w:kern w:val="28"/>
      <w:sz w:val="28"/>
      <w:szCs w:val="20"/>
    </w:rPr>
  </w:style>
  <w:style w:type="paragraph" w:customStyle="1" w:styleId="authors">
    <w:name w:val="authors"/>
    <w:basedOn w:val="Standard"/>
    <w:qFormat/>
    <w:rsid w:val="00174B5A"/>
    <w:pPr>
      <w:spacing w:after="240"/>
    </w:pPr>
    <w:rPr>
      <w:b/>
    </w:rPr>
  </w:style>
  <w:style w:type="paragraph" w:customStyle="1" w:styleId="Headline-2">
    <w:name w:val="Headline-2"/>
    <w:basedOn w:val="Standard"/>
    <w:qFormat/>
    <w:rsid w:val="00DC6EE3"/>
    <w:pPr>
      <w:spacing w:before="240"/>
    </w:pPr>
    <w:rPr>
      <w:b/>
      <w:sz w:val="28"/>
    </w:rPr>
  </w:style>
  <w:style w:type="paragraph" w:customStyle="1" w:styleId="Headline-3">
    <w:name w:val="Headline-3"/>
    <w:basedOn w:val="Standard"/>
    <w:qFormat/>
    <w:rsid w:val="00B7024A"/>
    <w:pPr>
      <w:widowControl w:val="0"/>
      <w:autoSpaceDE w:val="0"/>
      <w:spacing w:before="240"/>
    </w:pPr>
    <w:rPr>
      <w:b/>
      <w:szCs w:val="20"/>
      <w:lang w:val="en-US"/>
    </w:rPr>
  </w:style>
  <w:style w:type="paragraph" w:styleId="Endnotentext">
    <w:name w:val="endnote text"/>
    <w:basedOn w:val="Standard"/>
    <w:link w:val="EndnotentextZchn"/>
    <w:uiPriority w:val="99"/>
    <w:semiHidden/>
    <w:unhideWhenUsed/>
    <w:rsid w:val="004518BD"/>
    <w:rPr>
      <w:szCs w:val="20"/>
    </w:rPr>
  </w:style>
  <w:style w:type="character" w:customStyle="1" w:styleId="EndnotentextZchn">
    <w:name w:val="Endnotentext Zchn"/>
    <w:basedOn w:val="Absatz-Standardschriftart"/>
    <w:link w:val="Endnotentext"/>
    <w:uiPriority w:val="99"/>
    <w:semiHidden/>
    <w:rsid w:val="004518BD"/>
    <w:rPr>
      <w:rFonts w:ascii="Arial Narrow" w:hAnsi="Arial Narrow"/>
      <w:lang w:eastAsia="ar-SA"/>
    </w:rPr>
  </w:style>
  <w:style w:type="character" w:styleId="Endnotenzeichen">
    <w:name w:val="endnote reference"/>
    <w:basedOn w:val="Absatz-Standardschriftart"/>
    <w:uiPriority w:val="99"/>
    <w:semiHidden/>
    <w:unhideWhenUsed/>
    <w:rsid w:val="004518BD"/>
    <w:rPr>
      <w:vertAlign w:val="superscript"/>
    </w:rPr>
  </w:style>
  <w:style w:type="paragraph" w:customStyle="1" w:styleId="figuretitle">
    <w:name w:val="figure_title"/>
    <w:basedOn w:val="Textkrper"/>
    <w:qFormat/>
    <w:rsid w:val="002C009A"/>
    <w:pPr>
      <w:spacing w:before="80" w:after="120"/>
    </w:pPr>
    <w:rPr>
      <w:b/>
      <w:noProof/>
      <w:sz w:val="18"/>
      <w:lang w:val="en-US"/>
    </w:rPr>
  </w:style>
  <w:style w:type="paragraph" w:customStyle="1" w:styleId="tablehead">
    <w:name w:val="table_head"/>
    <w:basedOn w:val="Standard"/>
    <w:qFormat/>
    <w:rsid w:val="00A65B07"/>
    <w:pPr>
      <w:snapToGrid w:val="0"/>
      <w:jc w:val="center"/>
    </w:pPr>
    <w:rPr>
      <w:sz w:val="16"/>
      <w:szCs w:val="12"/>
    </w:rPr>
  </w:style>
  <w:style w:type="paragraph" w:customStyle="1" w:styleId="tablecell">
    <w:name w:val="table_cell"/>
    <w:basedOn w:val="Standard"/>
    <w:qFormat/>
    <w:rsid w:val="00A65B07"/>
    <w:pPr>
      <w:snapToGrid w:val="0"/>
      <w:jc w:val="center"/>
    </w:pPr>
    <w:rPr>
      <w:rFonts w:cs="Arial"/>
      <w:sz w:val="16"/>
      <w:szCs w:val="12"/>
    </w:rPr>
  </w:style>
  <w:style w:type="paragraph" w:customStyle="1" w:styleId="tablerow">
    <w:name w:val="table_row"/>
    <w:basedOn w:val="Standard"/>
    <w:qFormat/>
    <w:rsid w:val="004518BD"/>
    <w:pPr>
      <w:snapToGrid w:val="0"/>
      <w:jc w:val="center"/>
    </w:pPr>
    <w:rPr>
      <w:rFonts w:cs="Arial"/>
      <w:b/>
      <w:sz w:val="12"/>
      <w:szCs w:val="12"/>
    </w:rPr>
  </w:style>
  <w:style w:type="paragraph" w:customStyle="1" w:styleId="tablesub">
    <w:name w:val="table_sub"/>
    <w:basedOn w:val="Standard"/>
    <w:qFormat/>
    <w:rsid w:val="004518BD"/>
    <w:pPr>
      <w:spacing w:line="360" w:lineRule="auto"/>
    </w:pPr>
    <w:rPr>
      <w:rFonts w:ascii="Arial" w:hAnsi="Arial" w:cs="Arial"/>
      <w:sz w:val="12"/>
      <w:szCs w:val="16"/>
      <w:lang w:val="en-US"/>
    </w:rPr>
  </w:style>
  <w:style w:type="paragraph" w:customStyle="1" w:styleId="Normallist">
    <w:name w:val="Normal_list"/>
    <w:basedOn w:val="Standard"/>
    <w:qFormat/>
    <w:rsid w:val="003F063B"/>
    <w:pPr>
      <w:numPr>
        <w:numId w:val="7"/>
      </w:numPr>
      <w:tabs>
        <w:tab w:val="left" w:pos="0"/>
        <w:tab w:val="left" w:pos="540"/>
        <w:tab w:val="right" w:pos="8493"/>
      </w:tabs>
    </w:pPr>
    <w:rPr>
      <w:rFonts w:cs="Arial"/>
      <w:bCs/>
      <w:szCs w:val="20"/>
      <w:lang w:val="en-US"/>
    </w:rPr>
  </w:style>
  <w:style w:type="paragraph" w:customStyle="1" w:styleId="references">
    <w:name w:val="references"/>
    <w:basedOn w:val="Standard"/>
    <w:qFormat/>
    <w:rsid w:val="00287E01"/>
    <w:pPr>
      <w:numPr>
        <w:numId w:val="5"/>
      </w:numPr>
      <w:tabs>
        <w:tab w:val="left" w:pos="426"/>
        <w:tab w:val="left" w:pos="709"/>
        <w:tab w:val="left" w:pos="851"/>
      </w:tabs>
    </w:pPr>
    <w:rPr>
      <w:szCs w:val="20"/>
    </w:rPr>
  </w:style>
  <w:style w:type="paragraph" w:customStyle="1" w:styleId="author">
    <w:name w:val="author"/>
    <w:basedOn w:val="Standard"/>
    <w:qFormat/>
    <w:rsid w:val="00BF1A8E"/>
    <w:pPr>
      <w:spacing w:before="360"/>
    </w:pPr>
    <w:rPr>
      <w:lang w:val="en-US"/>
    </w:rPr>
  </w:style>
  <w:style w:type="paragraph" w:customStyle="1" w:styleId="figure">
    <w:name w:val="figure"/>
    <w:basedOn w:val="Standard"/>
    <w:qFormat/>
    <w:rsid w:val="003F063B"/>
    <w:pPr>
      <w:keepNext/>
      <w:tabs>
        <w:tab w:val="left" w:pos="0"/>
        <w:tab w:val="left" w:pos="540"/>
        <w:tab w:val="right" w:pos="8493"/>
      </w:tabs>
    </w:pPr>
    <w:rPr>
      <w:rFonts w:cs="Arial"/>
      <w:b/>
      <w:bCs/>
      <w:szCs w:val="20"/>
    </w:rPr>
  </w:style>
  <w:style w:type="paragraph" w:customStyle="1" w:styleId="affiliation">
    <w:name w:val="affiliation"/>
    <w:basedOn w:val="Standard"/>
    <w:qFormat/>
    <w:rsid w:val="00DB7547"/>
    <w:pPr>
      <w:widowControl w:val="0"/>
      <w:autoSpaceDE w:val="0"/>
      <w:spacing w:line="231" w:lineRule="atLeast"/>
      <w:ind w:right="252"/>
    </w:pPr>
    <w:rPr>
      <w:rFonts w:cs="Arial Narrow"/>
      <w:color w:val="000000"/>
      <w:szCs w:val="20"/>
      <w:lang w:val="en-US"/>
    </w:rPr>
  </w:style>
  <w:style w:type="paragraph" w:customStyle="1" w:styleId="quotation">
    <w:name w:val="quotation"/>
    <w:basedOn w:val="Standard"/>
    <w:qFormat/>
    <w:rsid w:val="00DB7547"/>
    <w:pPr>
      <w:widowControl w:val="0"/>
      <w:autoSpaceDE w:val="0"/>
    </w:pPr>
    <w:rPr>
      <w:rFonts w:cs="Arial Narrow"/>
      <w:b/>
      <w:bCs/>
      <w:color w:val="000000"/>
      <w:szCs w:val="20"/>
      <w:lang w:val="en-US"/>
    </w:rPr>
  </w:style>
  <w:style w:type="paragraph" w:customStyle="1" w:styleId="Headline-2rule">
    <w:name w:val="Headline-2~rule"/>
    <w:basedOn w:val="Headline-2"/>
    <w:rsid w:val="00AD2784"/>
    <w:pPr>
      <w:pBdr>
        <w:top w:val="single" w:sz="8" w:space="12" w:color="auto"/>
      </w:pBdr>
    </w:pPr>
    <w:rPr>
      <w:lang w:val="en-US"/>
    </w:rPr>
  </w:style>
  <w:style w:type="character" w:customStyle="1" w:styleId="surname">
    <w:name w:val="surname"/>
    <w:basedOn w:val="Absatz-Standardschriftart"/>
    <w:qFormat/>
    <w:rsid w:val="00174B5A"/>
    <w:rPr>
      <w:rFonts w:ascii="Arial Narrow" w:hAnsi="Arial Narrow"/>
      <w:b w:val="0"/>
    </w:rPr>
  </w:style>
  <w:style w:type="character" w:customStyle="1" w:styleId="given-names">
    <w:name w:val="given-names"/>
    <w:basedOn w:val="surname"/>
    <w:qFormat/>
    <w:rsid w:val="004C39EE"/>
    <w:rPr>
      <w:rFonts w:ascii="Arial Narrow" w:hAnsi="Arial Narrow"/>
      <w:b w:val="0"/>
    </w:rPr>
  </w:style>
  <w:style w:type="character" w:customStyle="1" w:styleId="aff">
    <w:name w:val="aff"/>
    <w:basedOn w:val="given-names"/>
    <w:qFormat/>
    <w:rsid w:val="004C39EE"/>
    <w:rPr>
      <w:rFonts w:ascii="Arial Narrow" w:hAnsi="Arial Narrow"/>
      <w:b w:val="0"/>
      <w:vertAlign w:val="superscript"/>
    </w:rPr>
  </w:style>
  <w:style w:type="paragraph" w:customStyle="1" w:styleId="address">
    <w:name w:val="address"/>
    <w:basedOn w:val="author"/>
    <w:rsid w:val="00282FB2"/>
    <w:pPr>
      <w:contextualSpacing/>
    </w:pPr>
    <w:rPr>
      <w:szCs w:val="20"/>
    </w:rPr>
  </w:style>
  <w:style w:type="character" w:customStyle="1" w:styleId="degrees">
    <w:name w:val="degrees"/>
    <w:basedOn w:val="given-names"/>
    <w:qFormat/>
    <w:rsid w:val="00174B5A"/>
    <w:rPr>
      <w:rFonts w:ascii="Arial Narrow" w:hAnsi="Arial Narrow"/>
      <w:b w:val="0"/>
      <w:lang w:val="de-DE"/>
    </w:rPr>
  </w:style>
  <w:style w:type="paragraph" w:customStyle="1" w:styleId="mail">
    <w:name w:val="mail"/>
    <w:basedOn w:val="author"/>
    <w:qFormat/>
    <w:rsid w:val="002C009A"/>
    <w:pPr>
      <w:spacing w:before="0"/>
    </w:pPr>
  </w:style>
  <w:style w:type="character" w:customStyle="1" w:styleId="ref">
    <w:name w:val="ref"/>
    <w:basedOn w:val="Absatz-Standardschriftart"/>
    <w:qFormat/>
    <w:rsid w:val="003F063B"/>
  </w:style>
  <w:style w:type="character" w:customStyle="1" w:styleId="tab">
    <w:name w:val="tab"/>
    <w:basedOn w:val="Absatz-Standardschriftart"/>
    <w:qFormat/>
    <w:rsid w:val="003F063B"/>
    <w:rPr>
      <w:color w:val="auto"/>
    </w:rPr>
  </w:style>
  <w:style w:type="character" w:customStyle="1" w:styleId="fig">
    <w:name w:val="fig"/>
    <w:basedOn w:val="Absatz-Standardschriftart"/>
    <w:qFormat/>
    <w:rsid w:val="003F063B"/>
  </w:style>
  <w:style w:type="paragraph" w:customStyle="1" w:styleId="ArticleBodyStart">
    <w:name w:val="ArticleBodyStart"/>
    <w:qFormat/>
    <w:rsid w:val="006A508A"/>
    <w:pPr>
      <w:pBdr>
        <w:top w:val="single" w:sz="36" w:space="1" w:color="595959" w:themeColor="text1" w:themeTint="A6"/>
        <w:left w:val="single" w:sz="36" w:space="4" w:color="595959" w:themeColor="text1" w:themeTint="A6"/>
        <w:bottom w:val="single" w:sz="36" w:space="1" w:color="595959" w:themeColor="text1" w:themeTint="A6"/>
        <w:right w:val="single" w:sz="36" w:space="4" w:color="595959" w:themeColor="text1" w:themeTint="A6"/>
      </w:pBdr>
      <w:spacing w:before="120" w:after="120"/>
    </w:pPr>
    <w:rPr>
      <w:rFonts w:ascii="Arial Narrow" w:hAnsi="Arial Narrow"/>
      <w:b/>
      <w:color w:val="FFFFFF" w:themeColor="background1"/>
      <w:sz w:val="2"/>
      <w:szCs w:val="24"/>
      <w:lang w:eastAsia="ar-SA"/>
    </w:rPr>
  </w:style>
  <w:style w:type="table" w:styleId="Tabellenraster">
    <w:name w:val="Table Grid"/>
    <w:basedOn w:val="NormaleTabelle"/>
    <w:uiPriority w:val="59"/>
    <w:rsid w:val="00D2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4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W:\b_projekte\zeitschriften_verl_online\hbaph\template\bearbeitet\1_konvertierung\1_minimalbeispiele\3_mendeley\1_word\bogin_fig1.jp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pglatza\opx\test\_ulsp_testset\CSM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86FF1-1BC4-4032-985D-587D562AC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CSMI.dotx</Template>
  <TotalTime>0</TotalTime>
  <Pages>8</Pages>
  <Words>4503</Words>
  <Characters>28372</Characters>
  <Application>Microsoft Office Word</Application>
  <DocSecurity>0</DocSecurity>
  <Lines>236</Lines>
  <Paragraphs>65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Muster für Formatvorlagenzuweisungen</vt:lpstr>
      <vt:lpstr>Bestimmung der Gesamthämoglobinmasse mit der weiterentwickelten CO-Rückatmungsmethode – Methodik und Evaluierung</vt:lpstr>
    </vt:vector>
  </TitlesOfParts>
  <Company/>
  <LinksUpToDate>false</LinksUpToDate>
  <CharactersWithSpaces>32810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für Formatvorlagenzuweisungen</dc:title>
  <dc:subject/>
  <dc:creator>pglatza</dc:creator>
  <cp:keywords/>
  <dc:description/>
  <cp:lastModifiedBy>Marco Winkler</cp:lastModifiedBy>
  <cp:revision>19</cp:revision>
  <cp:lastPrinted>2014-01-30T15:48:00Z</cp:lastPrinted>
  <dcterms:created xsi:type="dcterms:W3CDTF">2021-01-27T09:52:00Z</dcterms:created>
  <dcterms:modified xsi:type="dcterms:W3CDTF">2021-02-11T13:50:00Z</dcterms:modified>
  <cp:category>sport, Medizin, sports, Medicine</cp:category>
</cp:coreProperties>
</file>